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4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>
            <wp:extent cx="5943600" cy="668655"/>
            <wp:effectExtent l="0" t="0" r="0" b="0"/>
            <wp:docPr id="1" name="image1.png" descr="NYU Wagner logo" title="NYU Robert F. Wagner Graduate School of Public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PADM-GP 4129-001 &amp; EXEC-GP 4129-001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Race, Identity, and Inclusion in Organizations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Spring 2021 </w:t>
      </w:r>
    </w:p>
    <w:p w:rsidR="006A7424" w:rsidRDefault="00820FD4" w:rsidP="003011DF">
      <w:pPr>
        <w:pStyle w:val="H1"/>
      </w:pPr>
      <w:r>
        <w:t xml:space="preserve">Instructor Information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Sean Thomas-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Breitfeld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Email: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stb245@nyu.edu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Office Hours: By appointment. </w:t>
      </w:r>
    </w:p>
    <w:p w:rsidR="006A7424" w:rsidRDefault="00820FD4" w:rsidP="003011DF">
      <w:pPr>
        <w:pStyle w:val="H1"/>
      </w:pPr>
      <w:r>
        <w:t xml:space="preserve">Course Information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3" w:lineRule="auto"/>
        <w:ind w:left="732" w:right="20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Class Meeting Times: Saturdays, 4:20PM – 6:00PM on 2/6, 2/20, 3/6, 3/27, 4/10, 4/24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,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/8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Distinct Zoom links for each class meeting are available in NYU Classes </w:t>
      </w:r>
    </w:p>
    <w:p w:rsidR="006A7424" w:rsidRDefault="00820FD4" w:rsidP="003011DF">
      <w:pPr>
        <w:pStyle w:val="H1"/>
      </w:pPr>
      <w:r>
        <w:t xml:space="preserve">Course Description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26" w:right="128" w:hanging="72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course brings together a wide range of thinking and scholarship about race and identity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to encourage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learning about race as a construct that shapes individuals,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interpersonal relationships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society, and how to make progress on addressing racial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dynamics within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organizations. “Race” is used as a shorthand for the interconnected complex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of race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ethnicity, culture and color, understanding that we will be careful to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distinguish between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them in the course itself.</w:t>
      </w:r>
    </w:p>
    <w:p w:rsidR="006A7424" w:rsidRDefault="00820FD4" w:rsidP="00ED0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65" w:lineRule="auto"/>
        <w:ind w:left="7" w:right="1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While recognizing the importance of intersectionality and other markers of difference such as  gender, class and sexuality, the course centers race for two reasons: 1) it is generally the  most charged dimension of diversity in the United States, the most difficult to discuss  and, therefore, the topic we most often avoid, especially in cross-racial groups, and 2) it  has the greatest impact on life chances and opportunities: race is often the best  predictor of wealth, education, health, housing, employment and other important measures of well-being. However, we live race at the same time that we live other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parts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who we are and those intersections will come up throughout the course. Because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the impact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race is highly contextual, we will focus on </w:t>
      </w:r>
      <w:r w:rsidR="00ED0BB0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United States. 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24" w:right="115" w:hanging="72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class will meet seven times over the semester, with the content roughly divided into two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sections. We will begin the semester by exploring the racial and ethnic dynamics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in organizational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contexts, including what makes diversity, equity and inclusion difficult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to 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organizations. Following Spring Break, we will review a variety of approaches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and interventions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intended to foster racial diversity and create equity and inclusion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within organizations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A7424" w:rsidRDefault="00820FD4" w:rsidP="003011DF">
      <w:pPr>
        <w:pStyle w:val="H1"/>
      </w:pPr>
      <w:r>
        <w:t xml:space="preserve">Course and Learning Objectives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By the end of the course, students should be able to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38" w:right="99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Reflect critically on personal / lived experiences of race, identity, inclusion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and marginalization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7" w:lineRule="auto"/>
        <w:ind w:left="726" w:right="57" w:hanging="3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Participate in, design and facilitate discussions about race, identity and inclusion …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even when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such discussions trigger disagreement and / or discomfort;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6" w:lineRule="auto"/>
        <w:ind w:left="738" w:right="454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Engage proactively and critically with a wide variety of academic research related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to race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organizations;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30" w:right="344" w:hanging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Draw out and integrate insights from various sources (academic research,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popular articles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etc.) to inform strategies and processes for advancing equity and inclusion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in organizations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Pr="003011DF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left="20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011DF">
        <w:rPr>
          <w:rFonts w:ascii="Calibri" w:eastAsia="Calibri" w:hAnsi="Calibri" w:cs="Calibri"/>
          <w:i/>
          <w:color w:val="000000"/>
          <w:sz w:val="24"/>
          <w:szCs w:val="24"/>
        </w:rPr>
        <w:t>Learning Assessment Table</w:t>
      </w:r>
    </w:p>
    <w:tbl>
      <w:tblPr>
        <w:tblStyle w:val="a"/>
        <w:tblW w:w="7225" w:type="dxa"/>
        <w:tblInd w:w="1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arning Assessment Table"/>
        <w:tblDescription w:val="Table identifying graded assignments and their corresponding course objectives. "/>
      </w:tblPr>
      <w:tblGrid>
        <w:gridCol w:w="3805"/>
        <w:gridCol w:w="3420"/>
      </w:tblGrid>
      <w:tr w:rsidR="006A7424" w:rsidTr="00CB021F">
        <w:trPr>
          <w:trHeight w:val="451"/>
          <w:tblHeader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Graded Assignment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Course Objective Covered</w:t>
            </w:r>
          </w:p>
        </w:tc>
      </w:tr>
      <w:tr w:rsidR="006A7424">
        <w:trPr>
          <w:trHeight w:val="448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“Where I’m From”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#1, #3</w:t>
            </w:r>
          </w:p>
        </w:tc>
      </w:tr>
      <w:tr w:rsidR="006A7424">
        <w:trPr>
          <w:trHeight w:val="449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Analysis of Course Reading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#3</w:t>
            </w:r>
          </w:p>
        </w:tc>
      </w:tr>
      <w:tr w:rsidR="006A7424">
        <w:trPr>
          <w:trHeight w:val="451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Team-Led Class Discussion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#2, #3, #4</w:t>
            </w:r>
          </w:p>
        </w:tc>
      </w:tr>
      <w:tr w:rsidR="006A7424">
        <w:trPr>
          <w:trHeight w:val="448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Organizational Analysis Paper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#2, #3, #4</w:t>
            </w:r>
          </w:p>
        </w:tc>
      </w:tr>
      <w:tr w:rsidR="006A7424">
        <w:trPr>
          <w:trHeight w:val="448"/>
        </w:trPr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Class Participation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424" w:rsidRDefault="0082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#1, #2, #3, #4</w:t>
            </w:r>
          </w:p>
        </w:tc>
      </w:tr>
    </w:tbl>
    <w:p w:rsidR="006A7424" w:rsidRDefault="006A74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7424" w:rsidRDefault="006A74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7424" w:rsidRDefault="00820FD4" w:rsidP="003011DF">
      <w:pPr>
        <w:pStyle w:val="H1"/>
      </w:pPr>
      <w:r>
        <w:lastRenderedPageBreak/>
        <w:t xml:space="preserve">Course Texts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30" w:right="264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Each class will feature a variety of readings from a wide range of sources, mostly scholarly but other times from a practitioner viewpoint. All readings are posted on NYU Classes </w:t>
      </w:r>
      <w:r w:rsidR="002831C0">
        <w:rPr>
          <w:rFonts w:ascii="Calibri" w:eastAsia="Calibri" w:hAnsi="Calibri" w:cs="Calibri"/>
          <w:color w:val="000000"/>
          <w:sz w:val="24"/>
          <w:szCs w:val="24"/>
        </w:rPr>
        <w:t>as PDFs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Check NYU Classes for announcements, reminders, readings, assignments, etc. </w:t>
      </w:r>
    </w:p>
    <w:p w:rsidR="006A7424" w:rsidRDefault="00820FD4" w:rsidP="003011DF">
      <w:pPr>
        <w:pStyle w:val="H1"/>
      </w:pPr>
      <w:r>
        <w:t xml:space="preserve">Course Requirements </w:t>
      </w:r>
    </w:p>
    <w:p w:rsidR="002831C0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78" w:lineRule="auto"/>
        <w:ind w:left="372" w:right="1375" w:hanging="3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are five course requirements; each accounts for a percentage of your grade: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78" w:lineRule="auto"/>
        <w:ind w:left="372" w:right="1375" w:hanging="3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“Where I’m From” – 4 pages: 25%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Analysis of Course Reading – 3 pages: 20%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Team-Led Class Discussion – 1 page, plus presentation: 15%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Organizational Analysis Paper – 6 pages: 30% </w:t>
      </w:r>
    </w:p>
    <w:p w:rsidR="006A7424" w:rsidRDefault="00820FD4" w:rsidP="002831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participation: 10%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366" w:lineRule="auto"/>
        <w:ind w:left="3" w:right="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 papers should uploaded to NYU Classes as word documents (not PDFs), and should use 1.5  spacing, have 1 inch margins, use 12 pt. font size, and be in one of the following  standard fonts; Arial, Calibri, Times, Times New Roman (no Freestyle Script please).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365" w:lineRule="auto"/>
        <w:ind w:left="17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Papers should be posted on NYU Classes by the time class begins on the day they are due; </w:t>
      </w:r>
      <w:r w:rsidR="00E82415"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if not</w:t>
      </w:r>
      <w:r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, they will be considered one day late. Late assignments will lose one </w:t>
      </w:r>
      <w:r w:rsidR="00E82415"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percentage point</w:t>
      </w:r>
      <w:r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for each day they are late (which begins immediately after the posting deadline).  If you are facing some kind of </w:t>
      </w:r>
      <w:r w:rsidRPr="00E82415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 xml:space="preserve">serious and urgent </w:t>
      </w:r>
      <w:r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situation that could delay turning </w:t>
      </w:r>
      <w:r w:rsidR="00E82415"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 the</w:t>
      </w:r>
      <w:r w:rsidRPr="00E8241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assignment, contact me as soon as possible to discuss other arrangements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4C48DC" w:rsidRDefault="004C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365" w:lineRule="auto"/>
        <w:ind w:left="17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C48DC" w:rsidRDefault="004C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365" w:lineRule="auto"/>
        <w:ind w:left="17" w:right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7424" w:rsidRDefault="00820FD4" w:rsidP="003011DF">
      <w:pPr>
        <w:pStyle w:val="H1"/>
      </w:pPr>
      <w:r>
        <w:lastRenderedPageBreak/>
        <w:t xml:space="preserve">Description of Course Assignments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1. “Where I’m </w:t>
      </w:r>
      <w:proofErr w:type="gramStart"/>
      <w:r w:rsidRPr="003011DF">
        <w:rPr>
          <w:b/>
        </w:rPr>
        <w:t>From</w:t>
      </w:r>
      <w:proofErr w:type="gramEnd"/>
      <w:r w:rsidRPr="003011DF">
        <w:rPr>
          <w:b/>
        </w:rPr>
        <w:t xml:space="preserve">” – due February 20 (4 pages):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7" w:lineRule="auto"/>
        <w:ind w:left="731" w:right="681" w:hanging="7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this assignment, you will write a kind of racial-cultural autobiography, addressing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question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“How did I come to be who I am?” Think about the influence of race and </w:t>
      </w:r>
    </w:p>
    <w:p w:rsidR="006A7424" w:rsidRDefault="00E82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738" w:right="39" w:hanging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Ethnicity</w:t>
      </w:r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in both your personal and professional life. You may also want to explore </w:t>
      </w:r>
      <w:r>
        <w:rPr>
          <w:rFonts w:ascii="Calibri" w:eastAsia="Calibri" w:hAnsi="Calibri" w:cs="Calibri"/>
          <w:color w:val="000000"/>
          <w:sz w:val="24"/>
          <w:szCs w:val="24"/>
        </w:rPr>
        <w:t>how race</w:t>
      </w:r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and ethnicity have interacted with other aspects of your identity (like gender, class</w:t>
      </w:r>
      <w:r>
        <w:rPr>
          <w:rFonts w:ascii="Calibri" w:eastAsia="Calibri" w:hAnsi="Calibri" w:cs="Calibri"/>
          <w:color w:val="000000"/>
          <w:sz w:val="24"/>
          <w:szCs w:val="24"/>
        </w:rPr>
        <w:t>, religion</w:t>
      </w:r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, sexual orientation, etc.).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24" w:right="151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you are preparing for this assignment, consider these questions: How does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spectrum from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colorblindness to color cognizance (described in the chapter by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Foldy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Buckley from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February 1 class) relate to your lived experience? How does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framework challenge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confirm and/or connect to the message(s) about race you received in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your formative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years? How have elements of your identity shaped your life experience?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To what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extent have you experienced privilege and marginalization (or both) based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upon them</w:t>
      </w:r>
      <w:r>
        <w:rPr>
          <w:rFonts w:ascii="Calibri" w:eastAsia="Calibri" w:hAnsi="Calibri" w:cs="Calibri"/>
          <w:color w:val="000000"/>
          <w:sz w:val="24"/>
          <w:szCs w:val="24"/>
        </w:rPr>
        <w:t>? How have various facets of your identity influenced you professionally (at work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, 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organizations, your commitment to public service, etc.)?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6" w:lineRule="auto"/>
        <w:ind w:left="20" w:right="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addition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Foldy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Buckley chapter, you are expected to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reference – and engage </w:t>
      </w:r>
      <w:r w:rsidR="00E82415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critically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thoughtfully with – at least one other reading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the February 6 class. Evaluations of this assignment will be based on: 1) completeness of the assignment,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including quality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clarity of writing; 2) evidence of having read and reflected on Chapter 2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of The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Color Bind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 Prof.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Foldy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at least one additional reading from the February 6 class; 3) thoughtfulness in writing about – and critical reflection on – your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lived experience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(This assignment adapted from a syllabus by Jody Cohen) </w:t>
      </w:r>
    </w:p>
    <w:p w:rsidR="004C48DC" w:rsidRDefault="004C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2. Analysis of Course Reading – due March 6 (3 pages):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20" w:right="1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Each of you will be asked to draft a paper on one of the required course readings for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classes 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March 27, April 10 or April 24. The schedule of readings and dates for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assignment will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randomly assigned at the start of the semester. The purpose of these papers –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in combination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the Team-Led Discussions – is to prepare each person to work in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team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that will collectively take responsibility for advancing class discussion on a reading.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2" w:right="1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analysis should include the following elements: 1) a summary of the salient findings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article; 2) your critical analysis, thoughts, comments and reflections triggered by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and responding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the reading; 3) integration of one outside reading or learning resource of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738" w:right="126" w:hanging="13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your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choice that is related to the topic but geared to a popular/general audience (i.e.,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recent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news article on related current events, an organization, resource or tool, or a  relevant website).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24" w:right="46" w:hanging="7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Evaluations of this assignment will be based on: 1) completeness of the assignment,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including quality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clarity of writing; 2) evidence of having read and reflected thoughtfully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and critically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on the assigned reading; 3) thoughtfulness in connecting the assigned article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to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outside reading or learning process, as well as broader topics.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4" w:hanging="7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 on the schedule: The papers must be completed separately as individuals.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team presentations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happen over the course of the following weeks. This schedule ensures that each member of the team is prepared to contribute their own ideas and analysis,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so that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team can work together to design a class discussions (see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assignment description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below).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16" w:right="6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(Assignment adapted from Stacy Blake-Beard [2000]: syllabus for Cultural Diversity in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Workplace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and Erica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Foldy’s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fall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2014 syllabus for this course).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>3. Team-Led Discussions on Course Readings – Due March 27, April 10 or April 24 (1 page</w:t>
      </w:r>
      <w:r w:rsidR="00E82415" w:rsidRPr="003011DF">
        <w:rPr>
          <w:b/>
        </w:rPr>
        <w:t>, plus</w:t>
      </w:r>
      <w:r w:rsidRPr="003011DF">
        <w:rPr>
          <w:b/>
        </w:rPr>
        <w:t xml:space="preserve"> in-class presentation)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20" w:right="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Each student will serve on a team, with the responsibility of preparing for – and facilitating –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35</w:t>
      </w:r>
      <w:r>
        <w:rPr>
          <w:rFonts w:ascii="Calibri" w:eastAsia="Calibri" w:hAnsi="Calibri" w:cs="Calibri"/>
          <w:color w:val="000000"/>
          <w:sz w:val="24"/>
          <w:szCs w:val="24"/>
        </w:rPr>
        <w:t>- to 45-minute discussion on an assigned reading. Based on each team-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member’s memo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on the same reading, the teams will prepare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talking/discussion points memo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that outlines: 1) the arguments the team intends to make in presenting the article to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class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2) the plan for integrating at least one outside reading or learning resource; 3)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questions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points of debate / discussion that the team plans to pose to the rest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of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class in order to spark conversation and deepen learning during the discussion.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66" w:lineRule="auto"/>
        <w:ind w:left="724" w:right="81" w:hanging="7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Evaluations of this assignment will be based on: 1) completeness of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team’s talking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/discussion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point’s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memo; 2) evidence of having jointly (as a team) contributed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to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plan for leading the class discussion; 3) skilled and engaging facilitation of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class discussion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30 minutes.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731" w:right="201" w:hanging="7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Note: The team’s talking points memo is due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by the time class begins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the day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 xml:space="preserve">assigned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lastRenderedPageBreak/>
        <w:t>article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be discussed. One team member should submit / post the memo to </w:t>
      </w:r>
      <w:proofErr w:type="spellStart"/>
      <w:r w:rsidR="00E82415">
        <w:rPr>
          <w:rFonts w:ascii="Calibri" w:eastAsia="Calibri" w:hAnsi="Calibri" w:cs="Calibri"/>
          <w:color w:val="000000"/>
          <w:sz w:val="24"/>
          <w:szCs w:val="24"/>
        </w:rPr>
        <w:t>Brightspace</w:t>
      </w:r>
      <w:proofErr w:type="spellEnd"/>
      <w:r w:rsidR="00E8241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behalf of the whole team. 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4. Organizational Analysis Paper – due May 8 (6 pages):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65" w:lineRule="auto"/>
        <w:ind w:left="730" w:right="53" w:hanging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this assignment, you will describe a particular organization / institution / sector and outline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strategy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increasing racial diversity, equity and inclusion in that context. This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paper should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include a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5 page narrative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outlining the current state of diversity, equity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and inclusion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organization and making the case for an intervention that you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will summarize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a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1-page theory of change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that provides an initial logic for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intervention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30" w:right="72" w:hanging="7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5-page narrative should include: 1) a description of the organizational context; 2)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summary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the organizational issue that you believe should be addressed; 3) a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brief proposal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a change initiative that would address the organizational issues; 4)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 summary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relevant academic research that informs your analysis of the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organizational context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proposed change strategy, referencing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at least two scholarly, peer reviewed research sources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not part of the assigned class readings.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0" w:right="140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Note: Harvard Business Review and Stanford Social Innovation Review are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NOT scholarly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peer-reviewed journals. HBR and SSIR articles will not be counted toward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the requirement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two scholarly research sources for this assignment.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30" w:right="358" w:hanging="7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1-page diagram / illustration of the “theory of change” of your proposed intervention should include: 1) the desired long-term goal that the intervention is in service of  achieving; 2) the elements of the proposed change initiative (specific activities or  interventions); 3) the outcomes and/or conditions that the initiative would lead to as  preconditions for the long-term goal.  </w:t>
      </w:r>
    </w:p>
    <w:p w:rsidR="004C48DC" w:rsidRPr="004C48DC" w:rsidRDefault="00820FD4" w:rsidP="004C48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0" w:right="62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Note: there are many theory of change templates that you are free to us. The main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goal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additional page is to demonstrate at a glance that there is a clear and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logical rationale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how the proposed activities / interventions will lead to the desired change. </w:t>
      </w:r>
    </w:p>
    <w:p w:rsidR="006A7424" w:rsidRDefault="00820FD4" w:rsidP="00E82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724" w:right="82" w:hanging="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Evaluations of this assignment will be based on: 1) completeness of the assignment, including  quality and clarity of writing; 2) thoughtfulness in describing the organizational context;  3) evidence of a research basis for the analysis of the organizational issue; 4) logical and  thoughtful rationale and argument for the proposed change strategy; 5) clear visual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layout of the theory of change.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5. Class Participation: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2" w:right="21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class will rely almost entirely on group discussion so your preparation and participation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in class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critical to its success. Even on weeks where you are not responsible for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Team Led Discussion on Course Readings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you should certainly be prepared to engage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in discussion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demonstrate that you have completed all of the required readings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for each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class. Evaluation of class participation will be based on the descriptions below.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“A” Level Class Participation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65" w:lineRule="auto"/>
        <w:ind w:left="1456" w:right="292" w:hanging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Absent no more than once during the semester. Sends email ahead of time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to inform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professor of the reason that class will be missed.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0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Regularly participates in class discussion.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76" w:lineRule="auto"/>
        <w:ind w:left="1092" w:right="97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Comments are clear, succinct, and relevant to the current conversation.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Takes risks in answering difficult questions or offering unpopular ideas.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prepared for class, as evidenced by: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1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Applying ideas from the readings to the discussion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817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Challenging or extending ideas in the readings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2178" w:right="559" w:hanging="36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Integrating or contrasting ideas from current readings with previous  readings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“B” Level Class Participation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77" w:lineRule="auto"/>
        <w:ind w:left="1092" w:right="50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Absent no more than twice. May not send email to professor ahead of time.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Participates occasionally.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42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Comments are sometimes unclear, long-winded or not relevant to discussion.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4" w:lineRule="auto"/>
        <w:ind w:left="1458" w:right="538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Answers questions when called on, but volunteers their viewpoints or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takes risks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0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less prepared for class (in contrast to the bulleted list above)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“C” Level Class Participation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77" w:lineRule="auto"/>
        <w:ind w:left="1092" w:right="7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Absent no more than three times. Doesn’t email professor ahead of time.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Participates rarely.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0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unprepared for class. </w:t>
      </w:r>
    </w:p>
    <w:p w:rsidR="006A7424" w:rsidRDefault="00820FD4" w:rsidP="003011DF">
      <w:pPr>
        <w:pStyle w:val="H1"/>
      </w:pPr>
      <w:r>
        <w:t xml:space="preserve">Course Overview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76" w:lineRule="auto"/>
        <w:ind w:left="372" w:right="6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February 6 Introduction to the course, key concepts, and each other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February 20 Issues of race and identity in nonprofit organizations and the sector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March 6 Impacts of governance structures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March 27 Recruiting and retaining a diverse workforce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April 10 Training for diversity and inclusion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375" w:lineRule="auto"/>
        <w:ind w:left="372" w:right="15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April 24 Grappling with paradoxes in leading organizational change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8 Future directions </w:t>
      </w:r>
    </w:p>
    <w:p w:rsidR="00ED0BB0" w:rsidRDefault="00ED0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</w:p>
    <w:p w:rsidR="006A7424" w:rsidRDefault="00820FD4" w:rsidP="003011DF">
      <w:pPr>
        <w:pStyle w:val="H1"/>
      </w:pPr>
      <w:r>
        <w:t xml:space="preserve">Schedule of Course Readings and Assignments </w:t>
      </w:r>
    </w:p>
    <w:p w:rsidR="00466AC5" w:rsidRDefault="00466AC5" w:rsidP="003011DF">
      <w:pPr>
        <w:pStyle w:val="H1"/>
      </w:pPr>
    </w:p>
    <w:p w:rsidR="003011DF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February 6 Introduction to the course, key concepts, and each </w:t>
      </w:r>
      <w:r w:rsidR="003011DF" w:rsidRPr="003011DF">
        <w:rPr>
          <w:b/>
        </w:rPr>
        <w:t xml:space="preserve">other </w:t>
      </w:r>
    </w:p>
    <w:p w:rsidR="006A7424" w:rsidRDefault="00301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365" w:lineRule="auto"/>
        <w:ind w:left="380" w:right="144" w:hanging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 w:rsidR="00820FD4">
        <w:rPr>
          <w:rFonts w:ascii="Calibri" w:eastAsia="Calibri" w:hAnsi="Calibri" w:cs="Calibri"/>
          <w:color w:val="000000"/>
          <w:sz w:val="24"/>
          <w:szCs w:val="24"/>
        </w:rPr>
        <w:t>Adames</w:t>
      </w:r>
      <w:proofErr w:type="spell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et al. 2020. The Fallacy of a </w:t>
      </w:r>
      <w:proofErr w:type="spellStart"/>
      <w:r w:rsidR="00820FD4">
        <w:rPr>
          <w:rFonts w:ascii="Calibri" w:eastAsia="Calibri" w:hAnsi="Calibri" w:cs="Calibri"/>
          <w:color w:val="000000"/>
          <w:sz w:val="24"/>
          <w:szCs w:val="24"/>
        </w:rPr>
        <w:t>Raceless</w:t>
      </w:r>
      <w:proofErr w:type="spell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820FD4">
        <w:rPr>
          <w:rFonts w:ascii="Calibri" w:eastAsia="Calibri" w:hAnsi="Calibri" w:cs="Calibri"/>
          <w:color w:val="000000"/>
          <w:sz w:val="24"/>
          <w:szCs w:val="24"/>
        </w:rPr>
        <w:t>Latinidad</w:t>
      </w:r>
      <w:proofErr w:type="spell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: Action Guidelines for </w:t>
      </w:r>
      <w:proofErr w:type="gramStart"/>
      <w:r w:rsidR="00820FD4">
        <w:rPr>
          <w:rFonts w:ascii="Calibri" w:eastAsia="Calibri" w:hAnsi="Calibri" w:cs="Calibri"/>
          <w:color w:val="000000"/>
          <w:sz w:val="24"/>
          <w:szCs w:val="24"/>
        </w:rPr>
        <w:t>Centering  Blackness</w:t>
      </w:r>
      <w:proofErr w:type="gram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in </w:t>
      </w:r>
      <w:proofErr w:type="spellStart"/>
      <w:r w:rsidR="00820FD4">
        <w:rPr>
          <w:rFonts w:ascii="Calibri" w:eastAsia="Calibri" w:hAnsi="Calibri" w:cs="Calibri"/>
          <w:color w:val="000000"/>
          <w:sz w:val="24"/>
          <w:szCs w:val="24"/>
        </w:rPr>
        <w:t>Latinx</w:t>
      </w:r>
      <w:proofErr w:type="spell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Psychology. Journal of </w:t>
      </w:r>
      <w:proofErr w:type="spellStart"/>
      <w:r w:rsidR="00820FD4">
        <w:rPr>
          <w:rFonts w:ascii="Calibri" w:eastAsia="Calibri" w:hAnsi="Calibri" w:cs="Calibri"/>
          <w:color w:val="000000"/>
          <w:sz w:val="24"/>
          <w:szCs w:val="24"/>
        </w:rPr>
        <w:t>Latinx</w:t>
      </w:r>
      <w:proofErr w:type="spellEnd"/>
      <w:r w:rsidR="00820FD4">
        <w:rPr>
          <w:rFonts w:ascii="Calibri" w:eastAsia="Calibri" w:hAnsi="Calibri" w:cs="Calibri"/>
          <w:color w:val="000000"/>
          <w:sz w:val="24"/>
          <w:szCs w:val="24"/>
        </w:rPr>
        <w:t xml:space="preserve"> Psychology.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Read "Centering Blackness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Latinx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Psychology: A Framework" pp. 6-13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40" w:right="704" w:hanging="36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Dukmasova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M. July, 21, 2016. What does it mean to be a white ally?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Chicago  Reader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38" w:right="190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https://www.chicagoreader.com/Bleader/archives/2016/07/21/what-does-it-mean-to be-a-white-ally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30" w:right="218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3)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Foldy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EG and Buckley, TR. 2014.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Color Bind: Talking (and not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Talking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) about </w:t>
      </w:r>
      <w:r w:rsidR="00E82415">
        <w:rPr>
          <w:rFonts w:ascii="Calibri" w:eastAsia="Calibri" w:hAnsi="Calibri" w:cs="Calibri"/>
          <w:i/>
          <w:color w:val="000000"/>
          <w:sz w:val="24"/>
          <w:szCs w:val="24"/>
        </w:rPr>
        <w:t>Race at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Work.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Chapter 2: Achieving Color Cognizance. The Russell Sage Foundation. 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Read pp. 13-26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24" w:right="80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Wang et al. 2011. When the seemingly innocuous “stings”: Racial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microaggressions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and 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emotional consequences. Personality and Social Psychology Bulletin 37(12, 1666- 1678 </w:t>
      </w:r>
    </w:p>
    <w:p w:rsidR="003011DF" w:rsidRPr="003011DF" w:rsidRDefault="00820FD4" w:rsidP="003011DF">
      <w:pPr>
        <w:pStyle w:val="H2"/>
        <w:rPr>
          <w:b/>
        </w:rPr>
      </w:pPr>
      <w:r w:rsidRPr="003011DF">
        <w:rPr>
          <w:b/>
        </w:rPr>
        <w:lastRenderedPageBreak/>
        <w:t xml:space="preserve">February 20 Issues of race and identity in nonprofit organizations and the sector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365" w:lineRule="auto"/>
        <w:ind w:left="380" w:right="465" w:hanging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Adesaogun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R. et al. 2015. Stratification, communication tactics, and Black women:  Navigating the social domain of nonprofit organizations.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Journal of </w:t>
      </w:r>
      <w:r w:rsidR="00E82415">
        <w:rPr>
          <w:rFonts w:ascii="Calibri" w:eastAsia="Calibri" w:hAnsi="Calibri" w:cs="Calibri"/>
          <w:i/>
          <w:color w:val="000000"/>
          <w:sz w:val="24"/>
          <w:szCs w:val="24"/>
        </w:rPr>
        <w:t>Organizational Culture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, Communications and Conflict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19 (1): 42-57.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372" w:right="248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Building Movement Project. 2020. Executive Summary: Race to Lead Revisited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https://buildingmovement.org/reports/race-to-lead-revisited-executive-summary/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3)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Curry-Stevens, A.,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Deloney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G. &amp; Morton, M. 2019. Rethinking Services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with Communities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Color: Why Culturally Specific Organizations Are the Preferred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Service Delivery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Model. Sociology Mind, 9, pp. 183-206.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33" w:right="408" w:firstLine="6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Read "5. The Literature: Seven Assets of Culturally Specific Services" to end, pp. 191-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202.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3" w:right="377" w:firstLine="36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Dorsey, C, et al. May 4, 2020. Overcoming the Racial Bias in Philanthropic Funding. 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https://ssir.org/articles/entry/overcoming_the_racial_bias_in_philanthropic_funding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ASSIGNMENT DUE: “Where I’m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From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”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March 6 Impacts of governance structures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65" w:lineRule="auto"/>
        <w:ind w:left="373" w:right="4" w:firstLin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 "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BoardSource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n.d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Taking Action on Board Diversity: Five Questions to Get You Started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https://boardsource.org/taking-action-board-diversity-five-questions-get-started/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"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2)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Fredette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C. and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Sessler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Bernstein, R. 2019. Ethno-racial Diversity on Nonprofit Boards: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 Critical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Mass Perspective. Nonprofits and Voluntary Sector Quarterly, 48(5): 931-952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Read up to "Research Design, Method, and Analysis," pp. 931-938, and from "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Discussion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and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Findings" to end, pp. 945-948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1" w:right="38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LeRoux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K. 2009. Paternalistic or Participatory Governance? Examining Opportunities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for Client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Participation in Nonprofit Social Service Organizations. Public </w:t>
      </w:r>
      <w:r w:rsidR="00E82415">
        <w:rPr>
          <w:rFonts w:ascii="Calibri" w:eastAsia="Calibri" w:hAnsi="Calibri" w:cs="Calibri"/>
          <w:color w:val="000000"/>
          <w:sz w:val="24"/>
          <w:szCs w:val="24"/>
        </w:rPr>
        <w:t>Administration Review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69(3), pp. 504-517.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7" w:lineRule="auto"/>
        <w:ind w:left="731" w:right="222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Read up to Data and Methods, pp. 504-508, and from "Discussion and Implications"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end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, pp. 512-514.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ASSIGNMENT DUE: Memo on Course Reading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March 27 Recruiting and retaining a diverse workforce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21" w:right="660" w:hanging="3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DiTomaso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N. Racism and discrimination versus advantage and favoritism: Bias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lastRenderedPageBreak/>
        <w:t>versus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bias against.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Research in Organizational Behavior. 35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(2015) 57-77.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TEAM-LED DISCUSSION: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Alex Meyers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Chauntenay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Young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Deja Robinson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Julian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Amberg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Primo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Lasana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67" w:lineRule="auto"/>
        <w:ind w:left="722" w:right="770" w:hanging="3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Dover, TL, et al., “Diversity Policies Rarely Make Companies Fairer, and They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Feel Threatening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White Men”, Harvard Business Review, Jan. 4, 2016.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738" w:right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https://hbr.org/2016/01/diversity-policies-dont-help-women-or-minorities-and-they make-white-men-feel-threatened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724" w:right="118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3) Purdie-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Vaughns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V, et al. 2008. Social identity contingencies: How diversity cues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signal threat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 safety for African Americans in mainstream institutions. Journal of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Personality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Social Psychology. 94(4).  </w:t>
      </w: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April 10 Training for diversity and inclusion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735" w:right="54" w:hanging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1)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Antal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A. B. &amp; Friedman, V. J. 2008. Learning to negotiate reality: A strategy for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teaching  intercultural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competencies.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Journal of Management Education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32 (3): 363-386. 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Read from "Step 1: Understanding How Cultures Influence Thinking and Behavior"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thru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"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Step 6: Experimenting with Different Ways of Responding", pp. 370-381.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3" w:right="348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"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Bregman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P. ""Diversity Training Doesn't Work."" Harvard Business Review, Mar. 12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, 2012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3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https://hbr.org/2012/03/diversity-training-doesnt-work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"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7" w:lineRule="auto"/>
        <w:ind w:left="740" w:right="96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"Chang, E.H., et al. ""Does Diversity Training Work the Way It's Supposed To?""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Harvard Business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Review, Jul. 9, 2019.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65" w:right="70" w:firstLine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https://hbr.org/2019/07/does-diversity-training-work-the-way-its-supposed-to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" 4) Chung, Y. Gully, S.M., &amp; Lovelace, K.J. 2017. Predicting Readiness for Diversity Training:  The Influence of Perceived Ethnic Discrimination and Dyadic Dissimilarity.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Journal </w:t>
      </w:r>
      <w:r w:rsidR="00A93191">
        <w:rPr>
          <w:rFonts w:ascii="Calibri" w:eastAsia="Calibri" w:hAnsi="Calibri" w:cs="Calibri"/>
          <w:i/>
          <w:color w:val="000000"/>
          <w:sz w:val="24"/>
          <w:szCs w:val="24"/>
        </w:rPr>
        <w:t>of Personnel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Psychology 16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(1), 25-35.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21" w:right="236" w:hanging="34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Lindsey, A., et al. 2015. The Impact of Method, Motivation, and Empathy on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 xml:space="preserve">Diversity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lastRenderedPageBreak/>
        <w:t>Training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Effectiveness.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The Journal of Business and Psychology, 30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(3), 605-617.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TEAM-LED DISCUSSION: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Chris Holden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Jaheer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Jones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Kirsten Howe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Leslie Harris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Thais Carter</w:t>
      </w:r>
    </w:p>
    <w:p w:rsidR="00CB021F" w:rsidRDefault="00CB02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</w:p>
    <w:p w:rsidR="003011DF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April 24 </w:t>
      </w:r>
      <w:proofErr w:type="gramStart"/>
      <w:r w:rsidRPr="003011DF">
        <w:rPr>
          <w:b/>
        </w:rPr>
        <w:t>Grappling</w:t>
      </w:r>
      <w:proofErr w:type="gramEnd"/>
      <w:r w:rsidRPr="003011DF">
        <w:rPr>
          <w:b/>
        </w:rPr>
        <w:t xml:space="preserve"> with paradoxes in leading organizational change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373" w:right="103" w:hanging="3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Change Elemental. "What's Power Got to Do With It? Owning Your Power As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a Manager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."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https://changeelemental.org/resources/owning-your-power-as-a-manager/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Ferdman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B.M. 2017. Paradoxes of inclusion: Understanding and managing the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tensions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diversity and multiculturalism. The Journal of Applied Behavioral Science 53 (2), 235- 263.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2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TEAM-LED DISCUSSION: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April Thompson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Ali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Chelsea Kirk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Lauren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Stackpoole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Linda Zhang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21" w:right="643" w:hanging="3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Koppers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A., et al. "Discursive managerial practices of diversity and homogeneity."  Journal of Gender Studies, 24 (3), 259-274.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7" w:right="128" w:hanging="371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Le, V. "Toxic Self-Marginalization: How our unconscious addition to being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underdogs harms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our work." </w:t>
      </w:r>
      <w:hyperlink r:id="rId5" w:history="1">
        <w:r w:rsidR="00466AC5" w:rsidRPr="00DE3BCA">
          <w:rPr>
            <w:rStyle w:val="Hyperlink"/>
            <w:rFonts w:ascii="Calibri" w:eastAsia="Calibri" w:hAnsi="Calibri" w:cs="Calibri"/>
            <w:sz w:val="24"/>
            <w:szCs w:val="24"/>
          </w:rPr>
          <w:t>https://nonprofitaf.com/2019/09/toxic-self-marginalization-how-our unconscious-addiction-to-being-underdogs-harms-our-work/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466AC5" w:rsidRDefault="00466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7" w:right="128" w:hanging="371"/>
        <w:rPr>
          <w:rFonts w:ascii="Calibri" w:eastAsia="Calibri" w:hAnsi="Calibri" w:cs="Calibri"/>
          <w:color w:val="0000FF"/>
          <w:sz w:val="24"/>
          <w:szCs w:val="24"/>
        </w:rPr>
      </w:pPr>
    </w:p>
    <w:p w:rsidR="006A7424" w:rsidRPr="003011DF" w:rsidRDefault="00820FD4" w:rsidP="003011DF">
      <w:pPr>
        <w:pStyle w:val="H2"/>
        <w:rPr>
          <w:b/>
        </w:rPr>
      </w:pPr>
      <w:r w:rsidRPr="003011DF">
        <w:rPr>
          <w:b/>
        </w:rPr>
        <w:t xml:space="preserve">May 8 Future directions 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373" w:right="96" w:firstLin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Dobbin, F. and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Kalev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A. "Why Diversity Programs Fail: And what works better."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Harvard Business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Review, Jul.-Aug. 2016.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https://hbr.org/2016/07/why-diversity-programs-fail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2) Hudson-Ward, A. 2014. "Eyeing the New Diversity: An emerging paradigm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for recruitment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and retention." American Libraries, 45 (7/8), pp. 32-35.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40" w:right="478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Jordan, C.G. and Ewing, H.T. 2016. "Diversity and Inclusion Concepts and Practice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as Informed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by Gestalt Training." Gestalt Review 20 (2), pp.188-200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731" w:right="104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Olsen, J.E. and Martins, L.L. 2012. "Understanding organizational diversity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management programs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 theoretical framework and directions for future research." Journal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of Organizational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Behavior, 33 (8), pp. 1168-1187.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ASSIGNMENT DUE: Organizational Analysis Memo </w:t>
      </w:r>
    </w:p>
    <w:p w:rsidR="00ED0BB0" w:rsidRDefault="00ED0B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  <w:sz w:val="24"/>
          <w:szCs w:val="24"/>
        </w:rPr>
      </w:pPr>
    </w:p>
    <w:p w:rsidR="006A7424" w:rsidRDefault="00820FD4" w:rsidP="003011DF">
      <w:pPr>
        <w:pStyle w:val="H1"/>
      </w:pPr>
      <w:r>
        <w:t xml:space="preserve">Academic Integrity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724" w:right="174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Academic integrity is a vital component of Wagner and NYU. All students enrolled in this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class 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required to read and abide by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Wagner’s Academic Code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All Wagner students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have already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read and signed the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Wagner Academic Oath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Plagiarism of any form will not </w:t>
      </w:r>
      <w:r w:rsidR="00A93191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be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tolerated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and students in this class are expected to report violations to me.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If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any student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this class is unsure about what is expected of you and how to abide by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the academic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code, you should consult with me. </w:t>
      </w:r>
    </w:p>
    <w:p w:rsidR="006A7424" w:rsidRDefault="00820FD4" w:rsidP="003011DF">
      <w:pPr>
        <w:pStyle w:val="H1"/>
      </w:pPr>
      <w:r>
        <w:t xml:space="preserve">Henry and Lucy Moses Center for Students with Disabilities at NYU </w:t>
      </w:r>
    </w:p>
    <w:p w:rsidR="006A7424" w:rsidRDefault="00820F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5" w:lineRule="auto"/>
        <w:ind w:left="724" w:right="247" w:hanging="7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Academic accommodations are available for students with disabilities. Please visit the </w:t>
      </w:r>
      <w:r w:rsidR="00A93191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Moses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Center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for Students with Disabilities (CSD) website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click on the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Reasonable Accommodations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How to Register tab or call or email CSD at (212-998-4980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hyperlink r:id="rId6" w:history="1">
        <w:r w:rsidR="003011DF" w:rsidRPr="00DE3BCA">
          <w:rPr>
            <w:rStyle w:val="Hyperlink"/>
            <w:rFonts w:ascii="Calibri" w:eastAsia="Calibri" w:hAnsi="Calibri" w:cs="Calibri"/>
            <w:sz w:val="24"/>
            <w:szCs w:val="24"/>
          </w:rPr>
          <w:t>mosescsd@nyu.edu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) for information. Students who are requesting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academic accommodations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are strongly advised to reach out to the Moses Center as early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as possible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semester for assistance. </w:t>
      </w:r>
    </w:p>
    <w:p w:rsidR="006A7424" w:rsidRDefault="00820FD4" w:rsidP="003011DF">
      <w:pPr>
        <w:pStyle w:val="H1"/>
      </w:pPr>
      <w:r>
        <w:t xml:space="preserve">NYU’s Calendar Policy on Religious Holidays </w:t>
      </w:r>
    </w:p>
    <w:p w:rsidR="006A7424" w:rsidRPr="00ED0BB0" w:rsidRDefault="00820FD4" w:rsidP="00ED0B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65" w:lineRule="auto"/>
        <w:ind w:left="724" w:right="250" w:hanging="7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NYU’s Calendar Policy on Religious Holidays </w:t>
      </w:r>
      <w:r>
        <w:rPr>
          <w:rFonts w:ascii="Calibri" w:eastAsia="Calibri" w:hAnsi="Calibri" w:cs="Calibri"/>
          <w:color w:val="000000"/>
          <w:sz w:val="24"/>
          <w:szCs w:val="24"/>
        </w:rPr>
        <w:t>states that members of any religious group may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, without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penalty, absent themselves from classes when required in compliance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with 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religious obligations. Please notify me in advance of religious holidays that </w:t>
      </w:r>
      <w:r w:rsidR="00A93191">
        <w:rPr>
          <w:rFonts w:ascii="Calibri" w:eastAsia="Calibri" w:hAnsi="Calibri" w:cs="Calibri"/>
          <w:color w:val="000000"/>
          <w:sz w:val="24"/>
          <w:szCs w:val="24"/>
        </w:rPr>
        <w:t>might coincide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exams to schedule mutually acceptable alternatives.</w:t>
      </w:r>
      <w:bookmarkStart w:id="0" w:name="_GoBack"/>
      <w:bookmarkEnd w:id="0"/>
    </w:p>
    <w:sectPr w:rsidR="006A7424" w:rsidRPr="00ED0BB0">
      <w:pgSz w:w="12240" w:h="15840"/>
      <w:pgMar w:top="1428" w:right="1395" w:bottom="7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4"/>
    <w:rsid w:val="002831C0"/>
    <w:rsid w:val="003011DF"/>
    <w:rsid w:val="00466AC5"/>
    <w:rsid w:val="004C48DC"/>
    <w:rsid w:val="006A7424"/>
    <w:rsid w:val="007763C0"/>
    <w:rsid w:val="00820FD4"/>
    <w:rsid w:val="00A93191"/>
    <w:rsid w:val="00CB021F"/>
    <w:rsid w:val="00E82415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A7BA"/>
  <w15:docId w15:val="{C38411D4-94AA-41AE-A223-1FB5C82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93191"/>
    <w:rPr>
      <w:color w:val="0000FF" w:themeColor="hyperlink"/>
      <w:u w:val="single"/>
    </w:rPr>
  </w:style>
  <w:style w:type="paragraph" w:customStyle="1" w:styleId="H1">
    <w:name w:val="H1"/>
    <w:basedOn w:val="Heading1"/>
    <w:link w:val="H1Char"/>
    <w:qFormat/>
    <w:rsid w:val="003011DF"/>
    <w:pPr>
      <w:widowControl w:val="0"/>
      <w:pBdr>
        <w:top w:val="nil"/>
        <w:left w:val="nil"/>
        <w:bottom w:val="nil"/>
        <w:right w:val="nil"/>
        <w:between w:val="nil"/>
      </w:pBdr>
      <w:spacing w:before="159" w:line="240" w:lineRule="auto"/>
      <w:ind w:left="17"/>
    </w:pPr>
    <w:rPr>
      <w:rFonts w:ascii="Calibri" w:eastAsia="Calibri" w:hAnsi="Calibri" w:cs="Calibri"/>
      <w:color w:val="000000"/>
      <w:sz w:val="24"/>
      <w:szCs w:val="24"/>
      <w:u w:val="single"/>
    </w:rPr>
  </w:style>
  <w:style w:type="paragraph" w:customStyle="1" w:styleId="H2">
    <w:name w:val="H2"/>
    <w:basedOn w:val="Heading2"/>
    <w:link w:val="H2Char"/>
    <w:qFormat/>
    <w:rsid w:val="003011DF"/>
    <w:pPr>
      <w:widowControl w:val="0"/>
      <w:pBdr>
        <w:top w:val="nil"/>
        <w:left w:val="nil"/>
        <w:bottom w:val="nil"/>
        <w:right w:val="nil"/>
        <w:between w:val="nil"/>
      </w:pBdr>
      <w:spacing w:before="159" w:line="240" w:lineRule="auto"/>
      <w:ind w:left="17"/>
    </w:pPr>
    <w:rPr>
      <w:rFonts w:ascii="Calibri" w:eastAsia="Calibri" w:hAnsi="Calibri" w:cs="Calibri"/>
      <w:b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11DF"/>
    <w:rPr>
      <w:b/>
      <w:sz w:val="48"/>
      <w:szCs w:val="48"/>
    </w:rPr>
  </w:style>
  <w:style w:type="character" w:customStyle="1" w:styleId="H1Char">
    <w:name w:val="H1 Char"/>
    <w:basedOn w:val="Heading1Char"/>
    <w:link w:val="H1"/>
    <w:rsid w:val="003011DF"/>
    <w:rPr>
      <w:rFonts w:ascii="Calibri" w:eastAsia="Calibri" w:hAnsi="Calibri" w:cs="Calibri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011DF"/>
    <w:rPr>
      <w:b/>
      <w:sz w:val="36"/>
      <w:szCs w:val="36"/>
    </w:rPr>
  </w:style>
  <w:style w:type="character" w:customStyle="1" w:styleId="H2Char">
    <w:name w:val="H2 Char"/>
    <w:basedOn w:val="Heading2Char"/>
    <w:link w:val="H2"/>
    <w:rsid w:val="003011DF"/>
    <w:rPr>
      <w:rFonts w:ascii="Calibri" w:eastAsia="Calibri" w:hAnsi="Calibri" w:cs="Calibri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escsd@nyu.edu" TargetMode="External"/><Relationship Id="rId5" Type="http://schemas.openxmlformats.org/officeDocument/2006/relationships/hyperlink" Target="https://nonprofitaf.com/2019/09/toxic-self-marginalization-how-our%20unconscious-addiction-to-being-underdogs-harms-our-wor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 I Ekeji</dc:creator>
  <cp:lastModifiedBy>Nelia I Ekeji</cp:lastModifiedBy>
  <cp:revision>10</cp:revision>
  <dcterms:created xsi:type="dcterms:W3CDTF">2021-11-08T15:29:00Z</dcterms:created>
  <dcterms:modified xsi:type="dcterms:W3CDTF">2021-11-11T16:02:00Z</dcterms:modified>
</cp:coreProperties>
</file>