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bdr w:val="none" w:sz="0" w:space="0" w:color="auto" w:frame="1"/>
        </w:rPr>
        <w:fldChar w:fldCharType="begin"/>
      </w:r>
      <w:r w:rsidRPr="000A3EFA">
        <w:rPr>
          <w:rFonts w:ascii="Arial" w:eastAsia="Times New Roman" w:hAnsi="Arial" w:cs="Arial"/>
          <w:color w:val="000000"/>
          <w:sz w:val="22"/>
          <w:szCs w:val="22"/>
          <w:bdr w:val="none" w:sz="0" w:space="0" w:color="auto" w:frame="1"/>
        </w:rPr>
        <w:instrText xml:space="preserve"> INCLUDEPICTURE "https://lh4.googleusercontent.com/nAnsuiOsYu5oZF0L7BIdchNY_EVBjpvMEcO2m09Jhhjm-WkvLgHCtkMPhYnZedwHU9V7zqO2Cai3_e76SQgRrGhWmRiBWJst8EAHeQMss4qTkVFmYTV66QqX2CHwJbEBQGuiC3Huzp5Ngj3-iqWijWPVA3sH0HODggmWb76ZQo5XozlcrWks832bDX-iBg" \* MERGEFORMATINET </w:instrText>
      </w:r>
      <w:r w:rsidRPr="000A3EFA">
        <w:rPr>
          <w:rFonts w:ascii="Arial" w:eastAsia="Times New Roman" w:hAnsi="Arial" w:cs="Arial"/>
          <w:color w:val="000000"/>
          <w:sz w:val="22"/>
          <w:szCs w:val="22"/>
          <w:bdr w:val="none" w:sz="0" w:space="0" w:color="auto" w:frame="1"/>
        </w:rPr>
        <w:fldChar w:fldCharType="separate"/>
      </w:r>
      <w:r w:rsidRPr="000A3EFA">
        <w:rPr>
          <w:rFonts w:ascii="Arial" w:eastAsia="Times New Roman" w:hAnsi="Arial" w:cs="Arial"/>
          <w:noProof/>
          <w:color w:val="000000"/>
          <w:sz w:val="22"/>
          <w:szCs w:val="22"/>
          <w:bdr w:val="none" w:sz="0" w:space="0" w:color="auto" w:frame="1"/>
        </w:rPr>
        <w:drawing>
          <wp:inline distT="0" distB="0" distL="0" distR="0">
            <wp:extent cx="5943600" cy="666750"/>
            <wp:effectExtent l="0" t="0" r="0" b="6350"/>
            <wp:docPr id="1" name="Picture 1"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gn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inline>
        </w:drawing>
      </w:r>
      <w:r w:rsidRPr="000A3EFA">
        <w:rPr>
          <w:rFonts w:ascii="Arial" w:eastAsia="Times New Roman" w:hAnsi="Arial" w:cs="Arial"/>
          <w:color w:val="000000"/>
          <w:sz w:val="22"/>
          <w:szCs w:val="22"/>
          <w:bdr w:val="none" w:sz="0" w:space="0" w:color="auto" w:frame="1"/>
        </w:rPr>
        <w:fldChar w:fldCharType="end"/>
      </w:r>
    </w:p>
    <w:p w:rsidR="000A3EFA" w:rsidRPr="000A3EFA" w:rsidRDefault="000A3EFA" w:rsidP="000A3EFA">
      <w:pPr>
        <w:spacing w:before="400" w:after="120"/>
        <w:jc w:val="center"/>
        <w:outlineLvl w:val="0"/>
        <w:rPr>
          <w:rFonts w:ascii="Times New Roman" w:eastAsia="Times New Roman" w:hAnsi="Times New Roman" w:cs="Times New Roman"/>
          <w:b/>
          <w:bCs/>
          <w:kern w:val="36"/>
          <w:sz w:val="48"/>
          <w:szCs w:val="48"/>
        </w:rPr>
      </w:pPr>
      <w:r w:rsidRPr="000A3EFA">
        <w:rPr>
          <w:rFonts w:ascii="Arial" w:eastAsia="Times New Roman" w:hAnsi="Arial" w:cs="Arial"/>
          <w:b/>
          <w:bCs/>
          <w:color w:val="000000"/>
          <w:kern w:val="36"/>
          <w:sz w:val="40"/>
          <w:szCs w:val="40"/>
        </w:rPr>
        <w:t>PADM-GP 4503.001</w:t>
      </w:r>
    </w:p>
    <w:p w:rsidR="000A3EFA" w:rsidRPr="000A3EFA" w:rsidRDefault="000A3EFA" w:rsidP="000A3EFA">
      <w:pPr>
        <w:jc w:val="center"/>
        <w:rPr>
          <w:rFonts w:ascii="Times New Roman" w:eastAsia="Times New Roman" w:hAnsi="Times New Roman" w:cs="Times New Roman"/>
        </w:rPr>
      </w:pPr>
      <w:r w:rsidRPr="000A3EFA">
        <w:rPr>
          <w:rFonts w:ascii="Arial" w:eastAsia="Times New Roman" w:hAnsi="Arial" w:cs="Arial"/>
          <w:b/>
          <w:bCs/>
          <w:color w:val="000000"/>
          <w:sz w:val="40"/>
          <w:szCs w:val="40"/>
        </w:rPr>
        <w:t>Introduction to Data Analytics for Public Policy, Administration, and Management</w:t>
      </w:r>
    </w:p>
    <w:p w:rsidR="000A3EFA" w:rsidRPr="000A3EFA" w:rsidRDefault="000A3EFA" w:rsidP="000A3EFA">
      <w:pPr>
        <w:jc w:val="center"/>
        <w:rPr>
          <w:rFonts w:ascii="Times New Roman" w:eastAsia="Times New Roman" w:hAnsi="Times New Roman" w:cs="Times New Roman"/>
        </w:rPr>
      </w:pPr>
      <w:r w:rsidRPr="000A3EFA">
        <w:rPr>
          <w:rFonts w:ascii="Arial" w:eastAsia="Times New Roman" w:hAnsi="Arial" w:cs="Arial"/>
          <w:b/>
          <w:bCs/>
          <w:color w:val="000000"/>
          <w:sz w:val="40"/>
          <w:szCs w:val="40"/>
        </w:rPr>
        <w:t>Fall 2022</w:t>
      </w:r>
    </w:p>
    <w:p w:rsidR="000A3EFA" w:rsidRPr="000A3EFA" w:rsidRDefault="000A3EFA" w:rsidP="000A3EFA">
      <w:pPr>
        <w:spacing w:before="360" w:after="8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Instructor Information</w:t>
      </w:r>
    </w:p>
    <w:p w:rsidR="000A3EFA" w:rsidRPr="000A3EFA" w:rsidRDefault="000A3EFA" w:rsidP="000A3EFA">
      <w:pPr>
        <w:numPr>
          <w:ilvl w:val="0"/>
          <w:numId w:val="1"/>
        </w:numPr>
        <w:textAlignment w:val="baseline"/>
        <w:rPr>
          <w:rFonts w:ascii="Noto Sans Symbols" w:eastAsia="Times New Roman" w:hAnsi="Noto Sans Symbols" w:cs="Times New Roman"/>
          <w:color w:val="000000"/>
          <w:sz w:val="22"/>
          <w:szCs w:val="22"/>
        </w:rPr>
      </w:pPr>
      <w:proofErr w:type="spellStart"/>
      <w:r w:rsidRPr="000A3EFA">
        <w:rPr>
          <w:rFonts w:ascii="Arial" w:eastAsia="Times New Roman" w:hAnsi="Arial" w:cs="Arial"/>
          <w:color w:val="000000"/>
          <w:sz w:val="22"/>
          <w:szCs w:val="22"/>
        </w:rPr>
        <w:t>Poranee</w:t>
      </w:r>
      <w:proofErr w:type="spellEnd"/>
      <w:r w:rsidRPr="000A3EFA">
        <w:rPr>
          <w:rFonts w:ascii="Arial" w:eastAsia="Times New Roman" w:hAnsi="Arial" w:cs="Arial"/>
          <w:color w:val="000000"/>
          <w:sz w:val="22"/>
          <w:szCs w:val="22"/>
        </w:rPr>
        <w:t xml:space="preserve"> (Pam) </w:t>
      </w:r>
      <w:proofErr w:type="spellStart"/>
      <w:r w:rsidRPr="000A3EFA">
        <w:rPr>
          <w:rFonts w:ascii="Arial" w:eastAsia="Times New Roman" w:hAnsi="Arial" w:cs="Arial"/>
          <w:color w:val="000000"/>
          <w:sz w:val="22"/>
          <w:szCs w:val="22"/>
        </w:rPr>
        <w:t>Kingpetcharat</w:t>
      </w:r>
      <w:proofErr w:type="spellEnd"/>
      <w:r w:rsidRPr="000A3EFA">
        <w:rPr>
          <w:rFonts w:ascii="Arial" w:eastAsia="Times New Roman" w:hAnsi="Arial" w:cs="Arial"/>
          <w:color w:val="000000"/>
          <w:sz w:val="22"/>
          <w:szCs w:val="22"/>
        </w:rPr>
        <w:t> </w:t>
      </w:r>
    </w:p>
    <w:p w:rsidR="000A3EFA" w:rsidRPr="000A3EFA" w:rsidRDefault="000A3EFA" w:rsidP="000A3EFA">
      <w:pPr>
        <w:numPr>
          <w:ilvl w:val="0"/>
          <w:numId w:val="1"/>
        </w:numPr>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Email:  pk1030@nyu.edu</w:t>
      </w:r>
    </w:p>
    <w:p w:rsidR="000A3EFA" w:rsidRPr="000A3EFA" w:rsidRDefault="000A3EFA" w:rsidP="000A3EFA">
      <w:pPr>
        <w:numPr>
          <w:ilvl w:val="0"/>
          <w:numId w:val="1"/>
        </w:numPr>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Office Hours:  Please email me with your available dates &amp; windows of time to quickly coordinate office hours that work best for you.</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Course Information</w:t>
      </w:r>
    </w:p>
    <w:p w:rsidR="000A3EFA" w:rsidRPr="000A3EFA" w:rsidRDefault="000A3EFA" w:rsidP="000A3EFA">
      <w:pPr>
        <w:numPr>
          <w:ilvl w:val="0"/>
          <w:numId w:val="2"/>
        </w:numPr>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Class Meeting Times: Tuesdays, 6:45 PM - 8:25 PM</w:t>
      </w:r>
      <w:r w:rsidRPr="000A3EFA">
        <w:rPr>
          <w:rFonts w:ascii="Arial" w:eastAsia="Times New Roman" w:hAnsi="Arial" w:cs="Arial"/>
          <w:color w:val="2C3E50"/>
          <w:sz w:val="15"/>
          <w:szCs w:val="15"/>
          <w:shd w:val="clear" w:color="auto" w:fill="FFFFFF"/>
        </w:rPr>
        <w:t xml:space="preserve"> </w:t>
      </w:r>
      <w:r w:rsidRPr="000A3EFA">
        <w:rPr>
          <w:rFonts w:ascii="Arial" w:eastAsia="Times New Roman" w:hAnsi="Arial" w:cs="Arial"/>
          <w:color w:val="000000"/>
          <w:sz w:val="22"/>
          <w:szCs w:val="22"/>
        </w:rPr>
        <w:t>ET</w:t>
      </w:r>
    </w:p>
    <w:p w:rsidR="000A3EFA" w:rsidRPr="000A3EFA" w:rsidRDefault="000A3EFA" w:rsidP="000A3EFA">
      <w:pPr>
        <w:numPr>
          <w:ilvl w:val="0"/>
          <w:numId w:val="2"/>
        </w:numPr>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Class Location: TISC, Room LC9, Washington Square</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Course Prerequisites </w:t>
      </w:r>
    </w:p>
    <w:p w:rsidR="000A3EFA" w:rsidRPr="000A3EFA" w:rsidRDefault="000A3EFA" w:rsidP="000A3EFA">
      <w:pPr>
        <w:numPr>
          <w:ilvl w:val="0"/>
          <w:numId w:val="3"/>
        </w:numPr>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None</w:t>
      </w:r>
    </w:p>
    <w:p w:rsidR="000A3EFA" w:rsidRPr="000A3EFA" w:rsidRDefault="000A3EFA" w:rsidP="000A3EFA">
      <w:pPr>
        <w:spacing w:before="360" w:after="8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Course Description</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This course aims to establish a first-principles understanding of qualitative and quantitative techniques, tools, and processes used to wield data for effective decision-making.  Its approach focuses on pragmatic, interactive learning using logical methods, basic tools, and publicly available data to practice extracting insights and building recommendations.  It is designed for students with little prior statistical or mathematical training and no prior pre-exposure to statistical software.</w:t>
      </w:r>
    </w:p>
    <w:p w:rsidR="000A3EFA" w:rsidRPr="000A3EFA" w:rsidRDefault="000A3EFA" w:rsidP="000A3EFA">
      <w:pPr>
        <w:spacing w:before="360" w:after="8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Course and Learning Objectives</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Students will be able to:</w:t>
      </w:r>
    </w:p>
    <w:p w:rsidR="000A3EFA" w:rsidRPr="000A3EFA" w:rsidRDefault="000A3EFA" w:rsidP="000A3EFA">
      <w:pPr>
        <w:numPr>
          <w:ilvl w:val="0"/>
          <w:numId w:val="4"/>
        </w:numPr>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Explain the value of data, assess data arguments, identify alternatives to using data, and leverage administrative data to ground-truth research data.</w:t>
      </w:r>
    </w:p>
    <w:p w:rsidR="000A3EFA" w:rsidRPr="000A3EFA" w:rsidRDefault="000A3EFA" w:rsidP="000A3EFA">
      <w:pPr>
        <w:numPr>
          <w:ilvl w:val="0"/>
          <w:numId w:val="4"/>
        </w:numPr>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Structure problems, develop hypotheses, identify assumptions, and reference sources and considerations in a rigorous and transparent manner.</w:t>
      </w:r>
    </w:p>
    <w:p w:rsidR="000A3EFA" w:rsidRPr="000A3EFA" w:rsidRDefault="000A3EFA" w:rsidP="000A3EFA">
      <w:pPr>
        <w:numPr>
          <w:ilvl w:val="0"/>
          <w:numId w:val="4"/>
        </w:numPr>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Identify, obtain, understand, prepare, and analyze data using standard approaches and industry-standard tools.</w:t>
      </w:r>
    </w:p>
    <w:p w:rsidR="000A3EFA" w:rsidRPr="000A3EFA" w:rsidRDefault="000A3EFA" w:rsidP="000A3EFA">
      <w:pPr>
        <w:numPr>
          <w:ilvl w:val="0"/>
          <w:numId w:val="4"/>
        </w:numPr>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lastRenderedPageBreak/>
        <w:t>Package and persuade with data visualization techniques and tools [PowerPoint, Excel, Tableau] to reach specific objectives.</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How this Course Relates to Other Courses</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This is a foundational course.  There are no prerequisites.  It is designed to introduce students to first principles approaches to data analytics to build their comfort in navigating ambiguity, leveraging quantitative skills, and using industry-standard data tools and technologies.</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Evaluation</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The course will be evaluated through class participation [as measured by short quizzes and exit surveys] (25%), two problem sets (25%), and one final project (50%).  Problem sets will use Excel and PowerPoint, so students should ensure they are familiar with how to access these applications.</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Late Policy</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Assignments are due on the class dates indicated on the course’s NYU Brightspace site.  Late submission of assignments will lead to a two-point reduction for missing the deadline and another two-point reduction for each day thereafter until submitted.</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Course Structure</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The class includes lectures, readings, break-out session group work, and independent project work.  Class attendance is critical as the course is structured as an experiential learning course.  Students are strongly encouraged to apply approaches and tools learned in the course to their specific sector interests to deepen their content knowledge and understand the forces shaping trends in that sector.</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Expectations</w:t>
      </w:r>
    </w:p>
    <w:p w:rsidR="000A3EFA" w:rsidRPr="000A3EFA" w:rsidRDefault="000A3EFA" w:rsidP="000A3EFA">
      <w:pPr>
        <w:spacing w:before="320" w:after="80"/>
        <w:outlineLvl w:val="2"/>
        <w:rPr>
          <w:rFonts w:ascii="Times New Roman" w:eastAsia="Times New Roman" w:hAnsi="Times New Roman" w:cs="Times New Roman"/>
          <w:b/>
          <w:bCs/>
          <w:sz w:val="27"/>
          <w:szCs w:val="27"/>
        </w:rPr>
      </w:pPr>
      <w:r w:rsidRPr="000A3EFA">
        <w:rPr>
          <w:rFonts w:ascii="Arial" w:eastAsia="Times New Roman" w:hAnsi="Arial" w:cs="Arial"/>
          <w:b/>
          <w:bCs/>
          <w:color w:val="000000"/>
          <w:sz w:val="28"/>
          <w:szCs w:val="28"/>
        </w:rPr>
        <w:t>Class participation</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The course is designed as an experiential learning course, so class participation, group work [via breakout groups], and responsiveness to electronic surveys distributed is crucial.</w:t>
      </w:r>
    </w:p>
    <w:p w:rsidR="000A3EFA" w:rsidRPr="000A3EFA" w:rsidRDefault="000A3EFA" w:rsidP="000A3EFA">
      <w:pPr>
        <w:spacing w:before="320" w:after="80"/>
        <w:outlineLvl w:val="2"/>
        <w:rPr>
          <w:rFonts w:ascii="Times New Roman" w:eastAsia="Times New Roman" w:hAnsi="Times New Roman" w:cs="Times New Roman"/>
          <w:b/>
          <w:bCs/>
          <w:sz w:val="27"/>
          <w:szCs w:val="27"/>
        </w:rPr>
      </w:pPr>
      <w:r w:rsidRPr="000A3EFA">
        <w:rPr>
          <w:rFonts w:ascii="Arial" w:eastAsia="Times New Roman" w:hAnsi="Arial" w:cs="Arial"/>
          <w:b/>
          <w:bCs/>
          <w:color w:val="000000"/>
          <w:sz w:val="28"/>
          <w:szCs w:val="28"/>
        </w:rPr>
        <w:t>Absenteeism, punctuality, and in-class conduct</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Students are expected to attend all classes and arrive on time.  Systematic tardiness and disruptive behavior will negatively impact your grade.  Please contact me via e-mail if you need to miss a class due to unavoidable circumstances.</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Class Overview</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This is an NYU half-course conducted over 7 weeks in 100-minute sessions per week.</w:t>
      </w:r>
    </w:p>
    <w:p w:rsidR="000A3EFA" w:rsidRPr="000A3EFA" w:rsidRDefault="000A3EFA" w:rsidP="000A3EFA">
      <w:pPr>
        <w:spacing w:before="320" w:after="80"/>
        <w:outlineLvl w:val="2"/>
        <w:rPr>
          <w:rFonts w:ascii="Times New Roman" w:eastAsia="Times New Roman" w:hAnsi="Times New Roman" w:cs="Times New Roman"/>
          <w:b/>
          <w:bCs/>
          <w:sz w:val="27"/>
          <w:szCs w:val="27"/>
        </w:rPr>
      </w:pPr>
      <w:r w:rsidRPr="000A3EFA">
        <w:rPr>
          <w:rFonts w:ascii="Arial" w:eastAsia="Times New Roman" w:hAnsi="Arial" w:cs="Arial"/>
          <w:b/>
          <w:bCs/>
          <w:color w:val="000000"/>
          <w:sz w:val="28"/>
          <w:szCs w:val="28"/>
        </w:rPr>
        <w:lastRenderedPageBreak/>
        <w:t>Week 1 [November 1, 2022] – IN-PERSON CLASS:  The value of data and the importance of problem structuring.</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Topics</w:t>
      </w:r>
    </w:p>
    <w:p w:rsidR="000A3EFA" w:rsidRPr="000A3EFA" w:rsidRDefault="000A3EFA" w:rsidP="000A3EFA">
      <w:pPr>
        <w:numPr>
          <w:ilvl w:val="0"/>
          <w:numId w:val="5"/>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Describe the value of data and how it can lead to informed decisions </w:t>
      </w:r>
    </w:p>
    <w:p w:rsidR="000A3EFA" w:rsidRPr="000A3EFA" w:rsidRDefault="000A3EFA" w:rsidP="000A3EFA">
      <w:pPr>
        <w:numPr>
          <w:ilvl w:val="0"/>
          <w:numId w:val="5"/>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Identify the steps and goals of the analytics workflow, discuss problem structuring, and its importance</w:t>
      </w:r>
    </w:p>
    <w:p w:rsidR="000A3EFA" w:rsidRPr="000A3EFA" w:rsidRDefault="000A3EFA" w:rsidP="000A3EFA">
      <w:pPr>
        <w:numPr>
          <w:ilvl w:val="0"/>
          <w:numId w:val="5"/>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Apply basic criteria to judge the quality of data-related questions</w:t>
      </w:r>
    </w:p>
    <w:p w:rsidR="000A3EFA" w:rsidRPr="000A3EFA" w:rsidRDefault="000A3EFA" w:rsidP="000A3EFA">
      <w:pPr>
        <w:numPr>
          <w:ilvl w:val="0"/>
          <w:numId w:val="5"/>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Explore Excel both as software (basic layout, navigation, keyboard shortcuts, worksheet organization) and as a data analysis platform (basic math/stat formulas, visualization)</w:t>
      </w:r>
    </w:p>
    <w:p w:rsidR="000A3EFA" w:rsidRPr="000A3EFA" w:rsidRDefault="000A3EFA" w:rsidP="000A3EFA">
      <w:pPr>
        <w:numPr>
          <w:ilvl w:val="0"/>
          <w:numId w:val="5"/>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Practice basic summary tactics used to familiarize yourself with a dataset</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Readings</w:t>
      </w:r>
    </w:p>
    <w:p w:rsidR="000A3EFA" w:rsidRPr="000A3EFA" w:rsidRDefault="000A3EFA" w:rsidP="000A3EFA">
      <w:pPr>
        <w:numPr>
          <w:ilvl w:val="0"/>
          <w:numId w:val="6"/>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“What Great Data Analysts Do - and Why Every Organization Needs Them,” by Cassie </w:t>
      </w:r>
      <w:proofErr w:type="spellStart"/>
      <w:r w:rsidRPr="000A3EFA">
        <w:rPr>
          <w:rFonts w:ascii="Arial" w:eastAsia="Times New Roman" w:hAnsi="Arial" w:cs="Arial"/>
          <w:color w:val="000000"/>
          <w:sz w:val="22"/>
          <w:szCs w:val="22"/>
        </w:rPr>
        <w:t>Kozyrkov</w:t>
      </w:r>
      <w:proofErr w:type="spellEnd"/>
      <w:r w:rsidRPr="000A3EFA">
        <w:rPr>
          <w:rFonts w:ascii="Arial" w:eastAsia="Times New Roman" w:hAnsi="Arial" w:cs="Arial"/>
          <w:color w:val="000000"/>
          <w:sz w:val="22"/>
          <w:szCs w:val="22"/>
        </w:rPr>
        <w:t>, Harvard Business Review, December 4, 2018.</w:t>
      </w:r>
    </w:p>
    <w:p w:rsidR="000A3EFA" w:rsidRPr="000A3EFA" w:rsidRDefault="000A3EFA" w:rsidP="000A3EFA">
      <w:pPr>
        <w:numPr>
          <w:ilvl w:val="0"/>
          <w:numId w:val="6"/>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Redman, Thomas (2013), “Are you Data-Driven?”, </w:t>
      </w:r>
      <w:r w:rsidRPr="000A3EFA">
        <w:rPr>
          <w:rFonts w:ascii="Arial" w:eastAsia="Times New Roman" w:hAnsi="Arial" w:cs="Arial"/>
          <w:i/>
          <w:iCs/>
          <w:color w:val="000000"/>
          <w:sz w:val="22"/>
          <w:szCs w:val="22"/>
        </w:rPr>
        <w:t>HBR Guide to Data Analytics Basics for Managers</w:t>
      </w:r>
      <w:r w:rsidRPr="000A3EFA">
        <w:rPr>
          <w:rFonts w:ascii="Arial" w:eastAsia="Times New Roman" w:hAnsi="Arial" w:cs="Arial"/>
          <w:color w:val="000000"/>
          <w:sz w:val="22"/>
          <w:szCs w:val="22"/>
        </w:rPr>
        <w:t>, Cambridge, MA:  Harvard Business Review Press, pgs. 9 – 13, 15 – 26.</w:t>
      </w:r>
    </w:p>
    <w:p w:rsidR="000A3EFA" w:rsidRPr="000A3EFA" w:rsidRDefault="000A3EFA" w:rsidP="000A3EFA">
      <w:pPr>
        <w:numPr>
          <w:ilvl w:val="0"/>
          <w:numId w:val="6"/>
        </w:numPr>
        <w:textAlignment w:val="baseline"/>
        <w:rPr>
          <w:rFonts w:ascii="Arial" w:eastAsia="Times New Roman" w:hAnsi="Arial" w:cs="Arial"/>
          <w:color w:val="000000"/>
          <w:sz w:val="22"/>
          <w:szCs w:val="22"/>
        </w:rPr>
      </w:pPr>
      <w:proofErr w:type="spellStart"/>
      <w:r w:rsidRPr="000A3EFA">
        <w:rPr>
          <w:rFonts w:ascii="Arial" w:eastAsia="Times New Roman" w:hAnsi="Arial" w:cs="Arial"/>
          <w:color w:val="000000"/>
          <w:sz w:val="22"/>
          <w:szCs w:val="22"/>
        </w:rPr>
        <w:t>Rasiel</w:t>
      </w:r>
      <w:proofErr w:type="spellEnd"/>
      <w:r w:rsidRPr="000A3EFA">
        <w:rPr>
          <w:rFonts w:ascii="Arial" w:eastAsia="Times New Roman" w:hAnsi="Arial" w:cs="Arial"/>
          <w:color w:val="000000"/>
          <w:sz w:val="22"/>
          <w:szCs w:val="22"/>
        </w:rPr>
        <w:t xml:space="preserve">, Ethan (1999), </w:t>
      </w:r>
      <w:r w:rsidRPr="000A3EFA">
        <w:rPr>
          <w:rFonts w:ascii="Arial" w:eastAsia="Times New Roman" w:hAnsi="Arial" w:cs="Arial"/>
          <w:i/>
          <w:iCs/>
          <w:color w:val="000000"/>
          <w:sz w:val="22"/>
          <w:szCs w:val="22"/>
        </w:rPr>
        <w:t>The McKinsey Way</w:t>
      </w:r>
      <w:r w:rsidRPr="000A3EFA">
        <w:rPr>
          <w:rFonts w:ascii="Arial" w:eastAsia="Times New Roman" w:hAnsi="Arial" w:cs="Arial"/>
          <w:color w:val="000000"/>
          <w:sz w:val="22"/>
          <w:szCs w:val="22"/>
        </w:rPr>
        <w:t xml:space="preserve">, New York, NY:  McGraw-Hill Education, </w:t>
      </w:r>
      <w:proofErr w:type="spellStart"/>
      <w:r w:rsidRPr="000A3EFA">
        <w:rPr>
          <w:rFonts w:ascii="Arial" w:eastAsia="Times New Roman" w:hAnsi="Arial" w:cs="Arial"/>
          <w:color w:val="000000"/>
          <w:sz w:val="22"/>
          <w:szCs w:val="22"/>
        </w:rPr>
        <w:t>pgs</w:t>
      </w:r>
      <w:proofErr w:type="spellEnd"/>
      <w:r w:rsidRPr="000A3EFA">
        <w:rPr>
          <w:rFonts w:ascii="Arial" w:eastAsia="Times New Roman" w:hAnsi="Arial" w:cs="Arial"/>
          <w:color w:val="000000"/>
          <w:sz w:val="22"/>
          <w:szCs w:val="22"/>
        </w:rPr>
        <w:t xml:space="preserve"> 3 - 28.</w:t>
      </w:r>
    </w:p>
    <w:p w:rsidR="000A3EFA" w:rsidRPr="000A3EFA" w:rsidRDefault="000A3EFA" w:rsidP="000A3EFA">
      <w:pPr>
        <w:numPr>
          <w:ilvl w:val="0"/>
          <w:numId w:val="6"/>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w:t>
      </w:r>
      <w:hyperlink r:id="rId6" w:history="1">
        <w:r w:rsidRPr="000A3EFA">
          <w:rPr>
            <w:rFonts w:ascii="Arial" w:eastAsia="Times New Roman" w:hAnsi="Arial" w:cs="Arial"/>
            <w:color w:val="0000FF"/>
            <w:sz w:val="22"/>
            <w:szCs w:val="22"/>
            <w:u w:val="single"/>
          </w:rPr>
          <w:t>Why data culture matters</w:t>
        </w:r>
      </w:hyperlink>
      <w:r w:rsidRPr="000A3EFA">
        <w:rPr>
          <w:rFonts w:ascii="Arial" w:eastAsia="Times New Roman" w:hAnsi="Arial" w:cs="Arial"/>
          <w:color w:val="000000"/>
          <w:sz w:val="22"/>
          <w:szCs w:val="22"/>
        </w:rPr>
        <w:t xml:space="preserve">,” by Alejandro Diaz, </w:t>
      </w:r>
      <w:proofErr w:type="spellStart"/>
      <w:r w:rsidRPr="000A3EFA">
        <w:rPr>
          <w:rFonts w:ascii="Arial" w:eastAsia="Times New Roman" w:hAnsi="Arial" w:cs="Arial"/>
          <w:color w:val="000000"/>
          <w:sz w:val="22"/>
          <w:szCs w:val="22"/>
        </w:rPr>
        <w:t>Kayvaun</w:t>
      </w:r>
      <w:proofErr w:type="spellEnd"/>
      <w:r w:rsidRPr="000A3EFA">
        <w:rPr>
          <w:rFonts w:ascii="Arial" w:eastAsia="Times New Roman" w:hAnsi="Arial" w:cs="Arial"/>
          <w:color w:val="000000"/>
          <w:sz w:val="22"/>
          <w:szCs w:val="22"/>
        </w:rPr>
        <w:t xml:space="preserve"> </w:t>
      </w:r>
      <w:proofErr w:type="spellStart"/>
      <w:r w:rsidRPr="000A3EFA">
        <w:rPr>
          <w:rFonts w:ascii="Arial" w:eastAsia="Times New Roman" w:hAnsi="Arial" w:cs="Arial"/>
          <w:color w:val="000000"/>
          <w:sz w:val="22"/>
          <w:szCs w:val="22"/>
        </w:rPr>
        <w:t>Rowshankish</w:t>
      </w:r>
      <w:proofErr w:type="spellEnd"/>
      <w:r w:rsidRPr="000A3EFA">
        <w:rPr>
          <w:rFonts w:ascii="Arial" w:eastAsia="Times New Roman" w:hAnsi="Arial" w:cs="Arial"/>
          <w:color w:val="000000"/>
          <w:sz w:val="22"/>
          <w:szCs w:val="22"/>
        </w:rPr>
        <w:t xml:space="preserve">, and Tamim Saleh, </w:t>
      </w:r>
      <w:r w:rsidRPr="000A3EFA">
        <w:rPr>
          <w:rFonts w:ascii="Arial" w:eastAsia="Times New Roman" w:hAnsi="Arial" w:cs="Arial"/>
          <w:i/>
          <w:iCs/>
          <w:color w:val="000000"/>
          <w:sz w:val="22"/>
          <w:szCs w:val="22"/>
        </w:rPr>
        <w:t>McKinsey Quarterly,</w:t>
      </w:r>
      <w:r w:rsidRPr="000A3EFA">
        <w:rPr>
          <w:rFonts w:ascii="Arial" w:eastAsia="Times New Roman" w:hAnsi="Arial" w:cs="Arial"/>
          <w:color w:val="000000"/>
          <w:sz w:val="22"/>
          <w:szCs w:val="22"/>
        </w:rPr>
        <w:t xml:space="preserve"> September 2018.</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t>[Optional] Reference Readings:</w:t>
      </w:r>
    </w:p>
    <w:p w:rsidR="000A3EFA" w:rsidRPr="000A3EFA" w:rsidRDefault="000A3EFA" w:rsidP="000A3EFA">
      <w:pPr>
        <w:numPr>
          <w:ilvl w:val="0"/>
          <w:numId w:val="7"/>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“CIO Explainer: What is Artificial </w:t>
      </w:r>
      <w:proofErr w:type="gramStart"/>
      <w:r w:rsidRPr="000A3EFA">
        <w:rPr>
          <w:rFonts w:ascii="Arial" w:eastAsia="Times New Roman" w:hAnsi="Arial" w:cs="Arial"/>
          <w:color w:val="000000"/>
          <w:sz w:val="22"/>
          <w:szCs w:val="22"/>
        </w:rPr>
        <w:t>Intelligence?,</w:t>
      </w:r>
      <w:proofErr w:type="gramEnd"/>
      <w:r w:rsidRPr="000A3EFA">
        <w:rPr>
          <w:rFonts w:ascii="Arial" w:eastAsia="Times New Roman" w:hAnsi="Arial" w:cs="Arial"/>
          <w:color w:val="000000"/>
          <w:sz w:val="22"/>
          <w:szCs w:val="22"/>
        </w:rPr>
        <w:t>” by Steven Norton, The Wall Street Journal, July 18, 2016.</w:t>
      </w:r>
    </w:p>
    <w:p w:rsidR="000A3EFA" w:rsidRPr="000A3EFA" w:rsidRDefault="000A3EFA" w:rsidP="000A3EFA">
      <w:pPr>
        <w:numPr>
          <w:ilvl w:val="0"/>
          <w:numId w:val="7"/>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w:t>
      </w:r>
      <w:hyperlink r:id="rId7" w:history="1">
        <w:r w:rsidRPr="000A3EFA">
          <w:rPr>
            <w:rFonts w:ascii="Arial" w:eastAsia="Times New Roman" w:hAnsi="Arial" w:cs="Arial"/>
            <w:color w:val="0000FF"/>
            <w:sz w:val="22"/>
            <w:szCs w:val="22"/>
            <w:u w:val="single"/>
          </w:rPr>
          <w:t xml:space="preserve">Changing </w:t>
        </w:r>
        <w:proofErr w:type="spellStart"/>
        <w:r w:rsidRPr="000A3EFA">
          <w:rPr>
            <w:rFonts w:ascii="Arial" w:eastAsia="Times New Roman" w:hAnsi="Arial" w:cs="Arial"/>
            <w:color w:val="0000FF"/>
            <w:sz w:val="22"/>
            <w:szCs w:val="22"/>
            <w:u w:val="single"/>
          </w:rPr>
          <w:t>Behaviour</w:t>
        </w:r>
        <w:proofErr w:type="spellEnd"/>
        <w:r w:rsidRPr="000A3EFA">
          <w:rPr>
            <w:rFonts w:ascii="Arial" w:eastAsia="Times New Roman" w:hAnsi="Arial" w:cs="Arial"/>
            <w:color w:val="0000FF"/>
            <w:sz w:val="22"/>
            <w:szCs w:val="22"/>
            <w:u w:val="single"/>
          </w:rPr>
          <w:t xml:space="preserve"> to Improve People’s Lives:  A Practical Guide</w:t>
        </w:r>
      </w:hyperlink>
      <w:r w:rsidRPr="000A3EFA">
        <w:rPr>
          <w:rFonts w:ascii="Arial" w:eastAsia="Times New Roman" w:hAnsi="Arial" w:cs="Arial"/>
          <w:color w:val="000000"/>
          <w:sz w:val="22"/>
          <w:szCs w:val="22"/>
        </w:rPr>
        <w:t xml:space="preserve">,” by Piyush </w:t>
      </w:r>
      <w:proofErr w:type="spellStart"/>
      <w:r w:rsidRPr="000A3EFA">
        <w:rPr>
          <w:rFonts w:ascii="Arial" w:eastAsia="Times New Roman" w:hAnsi="Arial" w:cs="Arial"/>
          <w:color w:val="000000"/>
          <w:sz w:val="22"/>
          <w:szCs w:val="22"/>
        </w:rPr>
        <w:t>Tantia</w:t>
      </w:r>
      <w:proofErr w:type="spellEnd"/>
      <w:r w:rsidRPr="000A3EFA">
        <w:rPr>
          <w:rFonts w:ascii="Arial" w:eastAsia="Times New Roman" w:hAnsi="Arial" w:cs="Arial"/>
          <w:color w:val="000000"/>
          <w:sz w:val="22"/>
          <w:szCs w:val="22"/>
        </w:rPr>
        <w:t xml:space="preserve"> Jason Bade Paul Brest Maeve Richards, Ideas42.org.</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t>[Optional] Real-world example(s):</w:t>
      </w:r>
    </w:p>
    <w:p w:rsidR="000A3EFA" w:rsidRPr="000A3EFA" w:rsidRDefault="000A3EFA" w:rsidP="000A3EFA">
      <w:pPr>
        <w:numPr>
          <w:ilvl w:val="0"/>
          <w:numId w:val="8"/>
        </w:numPr>
        <w:textAlignment w:val="baseline"/>
        <w:rPr>
          <w:rFonts w:ascii="Arial" w:eastAsia="Times New Roman" w:hAnsi="Arial" w:cs="Arial"/>
          <w:color w:val="000000"/>
          <w:sz w:val="22"/>
          <w:szCs w:val="22"/>
        </w:rPr>
      </w:pPr>
      <w:hyperlink r:id="rId8" w:history="1">
        <w:r w:rsidRPr="000A3EFA">
          <w:rPr>
            <w:rFonts w:ascii="Arial" w:eastAsia="Times New Roman" w:hAnsi="Arial" w:cs="Arial"/>
            <w:color w:val="1155CC"/>
            <w:sz w:val="22"/>
            <w:szCs w:val="22"/>
            <w:u w:val="single"/>
          </w:rPr>
          <w:t>“Addressing Homelessness with Data Analytics,”</w:t>
        </w:r>
      </w:hyperlink>
      <w:r w:rsidRPr="000A3EFA">
        <w:rPr>
          <w:rFonts w:ascii="Arial" w:eastAsia="Times New Roman" w:hAnsi="Arial" w:cs="Arial"/>
          <w:color w:val="000000"/>
          <w:sz w:val="22"/>
          <w:szCs w:val="22"/>
        </w:rPr>
        <w:t xml:space="preserve"> by Mahesh Kelkar, Rachel Frey, Nagen </w:t>
      </w:r>
      <w:proofErr w:type="spellStart"/>
      <w:r w:rsidRPr="000A3EFA">
        <w:rPr>
          <w:rFonts w:ascii="Arial" w:eastAsia="Times New Roman" w:hAnsi="Arial" w:cs="Arial"/>
          <w:color w:val="000000"/>
          <w:sz w:val="22"/>
          <w:szCs w:val="22"/>
        </w:rPr>
        <w:t>Suriya</w:t>
      </w:r>
      <w:proofErr w:type="spellEnd"/>
      <w:r w:rsidRPr="000A3EFA">
        <w:rPr>
          <w:rFonts w:ascii="Arial" w:eastAsia="Times New Roman" w:hAnsi="Arial" w:cs="Arial"/>
          <w:color w:val="000000"/>
          <w:sz w:val="22"/>
          <w:szCs w:val="22"/>
        </w:rPr>
        <w:t>, Shane Engel, Deloitte Insights, September 25, 2019.</w:t>
      </w:r>
    </w:p>
    <w:p w:rsidR="000A3EFA" w:rsidRPr="000A3EFA" w:rsidRDefault="000A3EFA" w:rsidP="000A3EFA">
      <w:pPr>
        <w:numPr>
          <w:ilvl w:val="0"/>
          <w:numId w:val="8"/>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w:t>
      </w:r>
      <w:hyperlink r:id="rId9" w:history="1">
        <w:r w:rsidRPr="000A3EFA">
          <w:rPr>
            <w:rFonts w:ascii="Arial" w:eastAsia="Times New Roman" w:hAnsi="Arial" w:cs="Arial"/>
            <w:color w:val="1155CC"/>
            <w:sz w:val="22"/>
            <w:szCs w:val="22"/>
            <w:u w:val="single"/>
          </w:rPr>
          <w:t>Using Data to Provide Better Healthcare to New York’s Homeless</w:t>
        </w:r>
      </w:hyperlink>
      <w:r w:rsidRPr="000A3EFA">
        <w:rPr>
          <w:rFonts w:ascii="Arial" w:eastAsia="Times New Roman" w:hAnsi="Arial" w:cs="Arial"/>
          <w:color w:val="000000"/>
          <w:sz w:val="22"/>
          <w:szCs w:val="22"/>
        </w:rPr>
        <w:t xml:space="preserve">,” by Laura Jacobson, Remi Newton-Dame, Kalpana Bhandarkar and Dave A. </w:t>
      </w:r>
      <w:proofErr w:type="spellStart"/>
      <w:r w:rsidRPr="000A3EFA">
        <w:rPr>
          <w:rFonts w:ascii="Arial" w:eastAsia="Times New Roman" w:hAnsi="Arial" w:cs="Arial"/>
          <w:color w:val="000000"/>
          <w:sz w:val="22"/>
          <w:szCs w:val="22"/>
        </w:rPr>
        <w:t>Chokshi</w:t>
      </w:r>
      <w:proofErr w:type="spellEnd"/>
      <w:r w:rsidRPr="000A3EFA">
        <w:rPr>
          <w:rFonts w:ascii="Arial" w:eastAsia="Times New Roman" w:hAnsi="Arial" w:cs="Arial"/>
          <w:color w:val="000000"/>
          <w:sz w:val="22"/>
          <w:szCs w:val="22"/>
        </w:rPr>
        <w:t>, Harvard Business Review, May 21, 2019.</w:t>
      </w:r>
    </w:p>
    <w:p w:rsidR="000A3EFA" w:rsidRPr="000A3EFA" w:rsidRDefault="000A3EFA" w:rsidP="000A3EFA">
      <w:pPr>
        <w:spacing w:before="320" w:after="80"/>
        <w:outlineLvl w:val="2"/>
        <w:rPr>
          <w:rFonts w:ascii="Times New Roman" w:eastAsia="Times New Roman" w:hAnsi="Times New Roman" w:cs="Times New Roman"/>
          <w:b/>
          <w:bCs/>
          <w:sz w:val="27"/>
          <w:szCs w:val="27"/>
        </w:rPr>
      </w:pPr>
      <w:r w:rsidRPr="000A3EFA">
        <w:rPr>
          <w:rFonts w:ascii="Arial" w:eastAsia="Times New Roman" w:hAnsi="Arial" w:cs="Arial"/>
          <w:b/>
          <w:bCs/>
          <w:color w:val="000000"/>
          <w:sz w:val="28"/>
          <w:szCs w:val="28"/>
        </w:rPr>
        <w:t>Week 2 [November 8, 2022] – IN-PERSON CLASS:  Formulate, clean, and manipulate data in Excel.</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Topics</w:t>
      </w:r>
    </w:p>
    <w:p w:rsidR="000A3EFA" w:rsidRPr="000A3EFA" w:rsidRDefault="000A3EFA" w:rsidP="000A3EFA">
      <w:pPr>
        <w:numPr>
          <w:ilvl w:val="0"/>
          <w:numId w:val="9"/>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Intro to data cleaning</w:t>
      </w:r>
    </w:p>
    <w:p w:rsidR="000A3EFA" w:rsidRPr="000A3EFA" w:rsidRDefault="000A3EFA" w:rsidP="000A3EFA">
      <w:pPr>
        <w:numPr>
          <w:ilvl w:val="0"/>
          <w:numId w:val="9"/>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Describe the relationship between functions and parameters</w:t>
      </w:r>
    </w:p>
    <w:p w:rsidR="000A3EFA" w:rsidRPr="000A3EFA" w:rsidRDefault="000A3EFA" w:rsidP="000A3EFA">
      <w:pPr>
        <w:numPr>
          <w:ilvl w:val="0"/>
          <w:numId w:val="9"/>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Use nested functions</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Readings</w:t>
      </w:r>
    </w:p>
    <w:p w:rsidR="000A3EFA" w:rsidRPr="000A3EFA" w:rsidRDefault="000A3EFA" w:rsidP="000A3EFA">
      <w:pPr>
        <w:numPr>
          <w:ilvl w:val="0"/>
          <w:numId w:val="10"/>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Redman, Thomas (2013), “Are you Data-Driven?”, </w:t>
      </w:r>
      <w:r w:rsidRPr="000A3EFA">
        <w:rPr>
          <w:rFonts w:ascii="Arial" w:eastAsia="Times New Roman" w:hAnsi="Arial" w:cs="Arial"/>
          <w:i/>
          <w:iCs/>
          <w:color w:val="000000"/>
          <w:sz w:val="22"/>
          <w:szCs w:val="22"/>
        </w:rPr>
        <w:t>HBR Guide to Data Analytics Basics for Managers</w:t>
      </w:r>
      <w:r w:rsidRPr="000A3EFA">
        <w:rPr>
          <w:rFonts w:ascii="Arial" w:eastAsia="Times New Roman" w:hAnsi="Arial" w:cs="Arial"/>
          <w:color w:val="000000"/>
          <w:sz w:val="22"/>
          <w:szCs w:val="22"/>
        </w:rPr>
        <w:t>, Cambridge, MA:  Harvard Business Review Press, pgs. 63 - 69.</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lastRenderedPageBreak/>
        <w:t>[Optional] </w:t>
      </w:r>
    </w:p>
    <w:p w:rsidR="000A3EFA" w:rsidRPr="000A3EFA" w:rsidRDefault="000A3EFA" w:rsidP="000A3EFA">
      <w:pPr>
        <w:numPr>
          <w:ilvl w:val="0"/>
          <w:numId w:val="11"/>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w:t>
      </w:r>
      <w:hyperlink r:id="rId10" w:history="1">
        <w:r w:rsidRPr="000A3EFA">
          <w:rPr>
            <w:rFonts w:ascii="Arial" w:eastAsia="Times New Roman" w:hAnsi="Arial" w:cs="Arial"/>
            <w:color w:val="0000FF"/>
            <w:sz w:val="22"/>
            <w:szCs w:val="22"/>
            <w:u w:val="single"/>
          </w:rPr>
          <w:t>Achieving business impact with data</w:t>
        </w:r>
      </w:hyperlink>
      <w:r w:rsidRPr="000A3EFA">
        <w:rPr>
          <w:rFonts w:ascii="Arial" w:eastAsia="Times New Roman" w:hAnsi="Arial" w:cs="Arial"/>
          <w:color w:val="000000"/>
          <w:sz w:val="22"/>
          <w:szCs w:val="22"/>
        </w:rPr>
        <w:t>,” by Niko Mohr, Holder Hurtgen, Digital McKinsey, April 2018.</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t>[Optional] Real-world example(s):</w:t>
      </w:r>
    </w:p>
    <w:p w:rsidR="000A3EFA" w:rsidRPr="000A3EFA" w:rsidRDefault="000A3EFA" w:rsidP="000A3EFA">
      <w:pPr>
        <w:numPr>
          <w:ilvl w:val="0"/>
          <w:numId w:val="12"/>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w:t>
      </w:r>
      <w:hyperlink r:id="rId11" w:history="1">
        <w:r w:rsidRPr="000A3EFA">
          <w:rPr>
            <w:rFonts w:ascii="Arial" w:eastAsia="Times New Roman" w:hAnsi="Arial" w:cs="Arial"/>
            <w:color w:val="1155CC"/>
            <w:sz w:val="22"/>
            <w:szCs w:val="22"/>
            <w:u w:val="single"/>
          </w:rPr>
          <w:t>Huge Racial Disparities Found in Deaths Linked to Pregnancy</w:t>
        </w:r>
      </w:hyperlink>
      <w:r w:rsidRPr="000A3EFA">
        <w:rPr>
          <w:rFonts w:ascii="Arial" w:eastAsia="Times New Roman" w:hAnsi="Arial" w:cs="Arial"/>
          <w:color w:val="000000"/>
          <w:sz w:val="22"/>
          <w:szCs w:val="22"/>
        </w:rPr>
        <w:t>,” by Roni Caryn Rabin, New York Times, May 7, 2019.</w:t>
      </w:r>
    </w:p>
    <w:p w:rsidR="000A3EFA" w:rsidRPr="000A3EFA" w:rsidRDefault="000A3EFA" w:rsidP="000A3EFA">
      <w:pPr>
        <w:numPr>
          <w:ilvl w:val="0"/>
          <w:numId w:val="12"/>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w:t>
      </w:r>
      <w:hyperlink r:id="rId12" w:history="1">
        <w:r w:rsidRPr="000A3EFA">
          <w:rPr>
            <w:rFonts w:ascii="Arial" w:eastAsia="Times New Roman" w:hAnsi="Arial" w:cs="Arial"/>
            <w:color w:val="0000FF"/>
            <w:sz w:val="22"/>
            <w:szCs w:val="22"/>
            <w:u w:val="single"/>
          </w:rPr>
          <w:t>Vital Signs: Pregnancy-Related Deaths, United States, 2011–2015, and Strategies for Prevention, 13 States, 2013–2017</w:t>
        </w:r>
      </w:hyperlink>
      <w:r w:rsidRPr="000A3EFA">
        <w:rPr>
          <w:rFonts w:ascii="Arial" w:eastAsia="Times New Roman" w:hAnsi="Arial" w:cs="Arial"/>
          <w:color w:val="000000"/>
          <w:sz w:val="22"/>
          <w:szCs w:val="22"/>
        </w:rPr>
        <w:t xml:space="preserve">”, by Emily E. Petersen, MD; Nicole L. Davis, PhD; David Goodman, PhD; Shanna Cox, MSPH; Nikki Mayes; Emily Johnston, MPH; Carla </w:t>
      </w:r>
      <w:proofErr w:type="spellStart"/>
      <w:r w:rsidRPr="000A3EFA">
        <w:rPr>
          <w:rFonts w:ascii="Arial" w:eastAsia="Times New Roman" w:hAnsi="Arial" w:cs="Arial"/>
          <w:color w:val="000000"/>
          <w:sz w:val="22"/>
          <w:szCs w:val="22"/>
        </w:rPr>
        <w:t>Syverson</w:t>
      </w:r>
      <w:proofErr w:type="spellEnd"/>
      <w:r w:rsidRPr="000A3EFA">
        <w:rPr>
          <w:rFonts w:ascii="Arial" w:eastAsia="Times New Roman" w:hAnsi="Arial" w:cs="Arial"/>
          <w:color w:val="000000"/>
          <w:sz w:val="22"/>
          <w:szCs w:val="22"/>
        </w:rPr>
        <w:t>, MSN; Kristi Seed; Carrie K. Shapiro-Mendoza, PhD; William M. Callaghan, MD; Wanda Barfield, MD, Morbidity and Mortality Weekly Report, May 10, 2019.</w:t>
      </w:r>
    </w:p>
    <w:p w:rsidR="000A3EFA" w:rsidRPr="000A3EFA" w:rsidRDefault="000A3EFA" w:rsidP="000A3EFA">
      <w:pPr>
        <w:numPr>
          <w:ilvl w:val="0"/>
          <w:numId w:val="12"/>
        </w:numPr>
        <w:textAlignment w:val="baseline"/>
        <w:rPr>
          <w:rFonts w:ascii="Arial" w:eastAsia="Times New Roman" w:hAnsi="Arial" w:cs="Arial"/>
          <w:color w:val="000000"/>
          <w:sz w:val="22"/>
          <w:szCs w:val="22"/>
        </w:rPr>
      </w:pPr>
      <w:hyperlink r:id="rId13" w:history="1">
        <w:r w:rsidRPr="000A3EFA">
          <w:rPr>
            <w:rFonts w:ascii="Arial" w:eastAsia="Times New Roman" w:hAnsi="Arial" w:cs="Arial"/>
            <w:color w:val="0000FF"/>
            <w:sz w:val="22"/>
            <w:szCs w:val="22"/>
            <w:u w:val="single"/>
          </w:rPr>
          <w:t>Pregnancy Mortality Surveillance System</w:t>
        </w:r>
      </w:hyperlink>
      <w:r w:rsidRPr="000A3EFA">
        <w:rPr>
          <w:rFonts w:ascii="Arial" w:eastAsia="Times New Roman" w:hAnsi="Arial" w:cs="Arial"/>
          <w:color w:val="000000"/>
          <w:sz w:val="22"/>
          <w:szCs w:val="22"/>
        </w:rPr>
        <w:t>, CDC. </w:t>
      </w:r>
    </w:p>
    <w:p w:rsidR="000A3EFA" w:rsidRPr="000A3EFA" w:rsidRDefault="000A3EFA" w:rsidP="000A3EFA">
      <w:pPr>
        <w:spacing w:before="320" w:after="80"/>
        <w:outlineLvl w:val="2"/>
        <w:rPr>
          <w:rFonts w:ascii="Times New Roman" w:eastAsia="Times New Roman" w:hAnsi="Times New Roman" w:cs="Times New Roman"/>
          <w:b/>
          <w:bCs/>
          <w:sz w:val="27"/>
          <w:szCs w:val="27"/>
        </w:rPr>
      </w:pPr>
      <w:r w:rsidRPr="000A3EFA">
        <w:rPr>
          <w:rFonts w:ascii="Arial" w:eastAsia="Times New Roman" w:hAnsi="Arial" w:cs="Arial"/>
          <w:b/>
          <w:bCs/>
          <w:color w:val="000000"/>
          <w:sz w:val="28"/>
          <w:szCs w:val="28"/>
        </w:rPr>
        <w:t>Week 3 [November 15, 2022] – IN-PERSON CLASS:  Dynamic data referencing and dashboard creation. </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Topics </w:t>
      </w:r>
    </w:p>
    <w:p w:rsidR="000A3EFA" w:rsidRPr="000A3EFA" w:rsidRDefault="000A3EFA" w:rsidP="000A3EFA">
      <w:pPr>
        <w:numPr>
          <w:ilvl w:val="0"/>
          <w:numId w:val="13"/>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Learn how to look up data in other tables using VLOOKUP and HLOOKUP</w:t>
      </w:r>
    </w:p>
    <w:p w:rsidR="000A3EFA" w:rsidRPr="000A3EFA" w:rsidRDefault="000A3EFA" w:rsidP="000A3EFA">
      <w:pPr>
        <w:numPr>
          <w:ilvl w:val="0"/>
          <w:numId w:val="13"/>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Use data functions [INDEX and MATCH] to lookup values in other tables</w:t>
      </w:r>
    </w:p>
    <w:p w:rsidR="000A3EFA" w:rsidRPr="000A3EFA" w:rsidRDefault="000A3EFA" w:rsidP="000A3EFA">
      <w:pPr>
        <w:numPr>
          <w:ilvl w:val="0"/>
          <w:numId w:val="13"/>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Use these Excel functions to create a simple dashboard in Excel</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Readings</w:t>
      </w:r>
    </w:p>
    <w:p w:rsidR="000A3EFA" w:rsidRPr="000A3EFA" w:rsidRDefault="000A3EFA" w:rsidP="000A3EFA">
      <w:pPr>
        <w:numPr>
          <w:ilvl w:val="0"/>
          <w:numId w:val="14"/>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Davenport, Thomas H., “Competing on Analytics”, </w:t>
      </w:r>
      <w:r w:rsidRPr="000A3EFA">
        <w:rPr>
          <w:rFonts w:ascii="Arial" w:eastAsia="Times New Roman" w:hAnsi="Arial" w:cs="Arial"/>
          <w:i/>
          <w:iCs/>
          <w:color w:val="000000"/>
          <w:sz w:val="22"/>
          <w:szCs w:val="22"/>
        </w:rPr>
        <w:t>Harvard Business Review</w:t>
      </w:r>
      <w:r w:rsidRPr="000A3EFA">
        <w:rPr>
          <w:rFonts w:ascii="Arial" w:eastAsia="Times New Roman" w:hAnsi="Arial" w:cs="Arial"/>
          <w:color w:val="000000"/>
          <w:sz w:val="22"/>
          <w:szCs w:val="22"/>
        </w:rPr>
        <w:t>, January 2006.</w:t>
      </w:r>
    </w:p>
    <w:p w:rsidR="000A3EFA" w:rsidRPr="000A3EFA" w:rsidRDefault="000A3EFA" w:rsidP="000A3EFA">
      <w:pPr>
        <w:numPr>
          <w:ilvl w:val="0"/>
          <w:numId w:val="14"/>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“You Don’t Have to Be a Data Scientist to Fill This Must-Have Analytics Role,” by Nicolaus Henke, Jordan Levine, and Paul </w:t>
      </w:r>
      <w:proofErr w:type="spellStart"/>
      <w:r w:rsidRPr="000A3EFA">
        <w:rPr>
          <w:rFonts w:ascii="Arial" w:eastAsia="Times New Roman" w:hAnsi="Arial" w:cs="Arial"/>
          <w:color w:val="000000"/>
          <w:sz w:val="22"/>
          <w:szCs w:val="22"/>
        </w:rPr>
        <w:t>McInerney</w:t>
      </w:r>
      <w:proofErr w:type="spellEnd"/>
      <w:r w:rsidRPr="000A3EFA">
        <w:rPr>
          <w:rFonts w:ascii="Arial" w:eastAsia="Times New Roman" w:hAnsi="Arial" w:cs="Arial"/>
          <w:color w:val="000000"/>
          <w:sz w:val="22"/>
          <w:szCs w:val="22"/>
        </w:rPr>
        <w:t xml:space="preserve">, </w:t>
      </w:r>
      <w:r w:rsidRPr="000A3EFA">
        <w:rPr>
          <w:rFonts w:ascii="Arial" w:eastAsia="Times New Roman" w:hAnsi="Arial" w:cs="Arial"/>
          <w:i/>
          <w:iCs/>
          <w:color w:val="000000"/>
          <w:sz w:val="22"/>
          <w:szCs w:val="22"/>
        </w:rPr>
        <w:t>Harvard Business Review</w:t>
      </w:r>
      <w:r w:rsidRPr="000A3EFA">
        <w:rPr>
          <w:rFonts w:ascii="Arial" w:eastAsia="Times New Roman" w:hAnsi="Arial" w:cs="Arial"/>
          <w:color w:val="000000"/>
          <w:sz w:val="22"/>
          <w:szCs w:val="22"/>
        </w:rPr>
        <w:t>, February 8, 2018.</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t>[Optional] Real-world example(s):</w:t>
      </w:r>
    </w:p>
    <w:p w:rsidR="000A3EFA" w:rsidRPr="000A3EFA" w:rsidRDefault="000A3EFA" w:rsidP="000A3EFA">
      <w:pPr>
        <w:numPr>
          <w:ilvl w:val="0"/>
          <w:numId w:val="15"/>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Study on the Evolution of the UN Support Account for Peacekeeping Operations</w:t>
      </w:r>
    </w:p>
    <w:p w:rsidR="000A3EFA" w:rsidRPr="000A3EFA" w:rsidRDefault="000A3EFA" w:rsidP="000A3EFA">
      <w:pPr>
        <w:numPr>
          <w:ilvl w:val="0"/>
          <w:numId w:val="15"/>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w:t>
      </w:r>
      <w:hyperlink r:id="rId14" w:history="1">
        <w:r w:rsidRPr="000A3EFA">
          <w:rPr>
            <w:rFonts w:ascii="Arial" w:eastAsia="Times New Roman" w:hAnsi="Arial" w:cs="Arial"/>
            <w:color w:val="0000FF"/>
            <w:sz w:val="22"/>
            <w:szCs w:val="22"/>
            <w:u w:val="single"/>
          </w:rPr>
          <w:t>New York’s Economic Spending Shortchanges Nonwhite Communities, Report Says</w:t>
        </w:r>
      </w:hyperlink>
      <w:r w:rsidRPr="000A3EFA">
        <w:rPr>
          <w:rFonts w:ascii="Arial" w:eastAsia="Times New Roman" w:hAnsi="Arial" w:cs="Arial"/>
          <w:color w:val="000000"/>
          <w:sz w:val="22"/>
          <w:szCs w:val="22"/>
        </w:rPr>
        <w:t>,” by Vivian Wang, New York Times, August 1, 2018.</w:t>
      </w:r>
    </w:p>
    <w:p w:rsidR="000A3EFA" w:rsidRPr="000A3EFA" w:rsidRDefault="000A3EFA" w:rsidP="000A3EFA">
      <w:pPr>
        <w:numPr>
          <w:ilvl w:val="0"/>
          <w:numId w:val="15"/>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w:t>
      </w:r>
      <w:hyperlink r:id="rId15" w:history="1">
        <w:r w:rsidRPr="000A3EFA">
          <w:rPr>
            <w:rFonts w:ascii="Arial" w:eastAsia="Times New Roman" w:hAnsi="Arial" w:cs="Arial"/>
            <w:color w:val="1155CC"/>
            <w:sz w:val="22"/>
            <w:szCs w:val="22"/>
            <w:u w:val="single"/>
          </w:rPr>
          <w:t>Shortchanged:  Racial Disparities in New York’s Economic Development Programs</w:t>
        </w:r>
      </w:hyperlink>
      <w:r w:rsidRPr="000A3EFA">
        <w:rPr>
          <w:rFonts w:ascii="Arial" w:eastAsia="Times New Roman" w:hAnsi="Arial" w:cs="Arial"/>
          <w:color w:val="000000"/>
          <w:sz w:val="22"/>
          <w:szCs w:val="22"/>
        </w:rPr>
        <w:t>,” Fiscal Policy Institute, 2018. </w:t>
      </w:r>
    </w:p>
    <w:p w:rsidR="000A3EFA" w:rsidRPr="000A3EFA" w:rsidRDefault="000A3EFA" w:rsidP="000A3EFA">
      <w:pPr>
        <w:spacing w:before="320" w:after="80"/>
        <w:outlineLvl w:val="2"/>
        <w:rPr>
          <w:rFonts w:ascii="Times New Roman" w:eastAsia="Times New Roman" w:hAnsi="Times New Roman" w:cs="Times New Roman"/>
          <w:b/>
          <w:bCs/>
          <w:sz w:val="27"/>
          <w:szCs w:val="27"/>
        </w:rPr>
      </w:pPr>
      <w:r w:rsidRPr="000A3EFA">
        <w:rPr>
          <w:rFonts w:ascii="Arial" w:eastAsia="Times New Roman" w:hAnsi="Arial" w:cs="Arial"/>
          <w:b/>
          <w:bCs/>
          <w:color w:val="000000"/>
          <w:sz w:val="28"/>
          <w:szCs w:val="28"/>
        </w:rPr>
        <w:t>Week 4 [November 22, 2022] – IN-PERSON CLASS:  Dynamic data aggregation.</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Topics</w:t>
      </w:r>
    </w:p>
    <w:p w:rsidR="000A3EFA" w:rsidRPr="000A3EFA" w:rsidRDefault="000A3EFA" w:rsidP="000A3EFA">
      <w:pPr>
        <w:numPr>
          <w:ilvl w:val="0"/>
          <w:numId w:val="16"/>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Learn about data aggregation using Pivot Tables</w:t>
      </w:r>
    </w:p>
    <w:p w:rsidR="000A3EFA" w:rsidRPr="000A3EFA" w:rsidRDefault="000A3EFA" w:rsidP="000A3EFA">
      <w:pPr>
        <w:numPr>
          <w:ilvl w:val="0"/>
          <w:numId w:val="16"/>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Use </w:t>
      </w:r>
      <w:proofErr w:type="gramStart"/>
      <w:r w:rsidRPr="000A3EFA">
        <w:rPr>
          <w:rFonts w:ascii="Arial" w:eastAsia="Times New Roman" w:hAnsi="Arial" w:cs="Arial"/>
          <w:color w:val="000000"/>
          <w:sz w:val="22"/>
          <w:szCs w:val="22"/>
        </w:rPr>
        <w:t>excel</w:t>
      </w:r>
      <w:proofErr w:type="gramEnd"/>
      <w:r w:rsidRPr="000A3EFA">
        <w:rPr>
          <w:rFonts w:ascii="Arial" w:eastAsia="Times New Roman" w:hAnsi="Arial" w:cs="Arial"/>
          <w:color w:val="000000"/>
          <w:sz w:val="22"/>
          <w:szCs w:val="22"/>
        </w:rPr>
        <w:t xml:space="preserve"> aggregation commands to summarize data sets</w:t>
      </w:r>
    </w:p>
    <w:p w:rsidR="000A3EFA" w:rsidRPr="000A3EFA" w:rsidRDefault="000A3EFA" w:rsidP="000A3EFA">
      <w:pPr>
        <w:numPr>
          <w:ilvl w:val="0"/>
          <w:numId w:val="16"/>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Learn to use histograms, scatterplots, and trend analysis to analyze data</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Readings</w:t>
      </w:r>
    </w:p>
    <w:p w:rsidR="000A3EFA" w:rsidRPr="000A3EFA" w:rsidRDefault="000A3EFA" w:rsidP="000A3EFA">
      <w:pPr>
        <w:numPr>
          <w:ilvl w:val="0"/>
          <w:numId w:val="17"/>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lastRenderedPageBreak/>
        <w:t xml:space="preserve">Heath, Chip, Heath, Dan (2010), </w:t>
      </w:r>
      <w:r w:rsidRPr="000A3EFA">
        <w:rPr>
          <w:rFonts w:ascii="Arial" w:eastAsia="Times New Roman" w:hAnsi="Arial" w:cs="Arial"/>
          <w:i/>
          <w:iCs/>
          <w:color w:val="000000"/>
          <w:sz w:val="22"/>
          <w:szCs w:val="22"/>
        </w:rPr>
        <w:t>Switch:  How to Change Things When Change is Hard</w:t>
      </w:r>
      <w:r w:rsidRPr="000A3EFA">
        <w:rPr>
          <w:rFonts w:ascii="Arial" w:eastAsia="Times New Roman" w:hAnsi="Arial" w:cs="Arial"/>
          <w:color w:val="000000"/>
          <w:sz w:val="22"/>
          <w:szCs w:val="22"/>
        </w:rPr>
        <w:t xml:space="preserve">, New York, NY:  Crown Business, </w:t>
      </w:r>
      <w:proofErr w:type="spellStart"/>
      <w:r w:rsidRPr="000A3EFA">
        <w:rPr>
          <w:rFonts w:ascii="Arial" w:eastAsia="Times New Roman" w:hAnsi="Arial" w:cs="Arial"/>
          <w:color w:val="000000"/>
          <w:sz w:val="22"/>
          <w:szCs w:val="22"/>
        </w:rPr>
        <w:t>pgs</w:t>
      </w:r>
      <w:proofErr w:type="spellEnd"/>
      <w:r w:rsidRPr="000A3EFA">
        <w:rPr>
          <w:rFonts w:ascii="Arial" w:eastAsia="Times New Roman" w:hAnsi="Arial" w:cs="Arial"/>
          <w:color w:val="000000"/>
          <w:sz w:val="22"/>
          <w:szCs w:val="22"/>
        </w:rPr>
        <w:t xml:space="preserve"> 1 - 23.</w:t>
      </w:r>
    </w:p>
    <w:p w:rsidR="000A3EFA" w:rsidRPr="000A3EFA" w:rsidRDefault="000A3EFA" w:rsidP="000A3EFA">
      <w:pPr>
        <w:numPr>
          <w:ilvl w:val="0"/>
          <w:numId w:val="17"/>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“Big Data for Social Innovation,” by Kevin C. </w:t>
      </w:r>
      <w:proofErr w:type="spellStart"/>
      <w:r w:rsidRPr="000A3EFA">
        <w:rPr>
          <w:rFonts w:ascii="Arial" w:eastAsia="Times New Roman" w:hAnsi="Arial" w:cs="Arial"/>
          <w:color w:val="000000"/>
          <w:sz w:val="22"/>
          <w:szCs w:val="22"/>
        </w:rPr>
        <w:t>Desouza</w:t>
      </w:r>
      <w:proofErr w:type="spellEnd"/>
      <w:r w:rsidRPr="000A3EFA">
        <w:rPr>
          <w:rFonts w:ascii="Arial" w:eastAsia="Times New Roman" w:hAnsi="Arial" w:cs="Arial"/>
          <w:color w:val="000000"/>
          <w:sz w:val="22"/>
          <w:szCs w:val="22"/>
        </w:rPr>
        <w:t xml:space="preserve"> &amp; Kendra L. Smith, Stanford Social Innovation Review, Summer 2014.</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t>[Optional]  </w:t>
      </w:r>
    </w:p>
    <w:p w:rsidR="000A3EFA" w:rsidRPr="000A3EFA" w:rsidRDefault="000A3EFA" w:rsidP="000A3EFA">
      <w:pPr>
        <w:numPr>
          <w:ilvl w:val="0"/>
          <w:numId w:val="18"/>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“An Overview of Data Management,” The American Institute of Certified Public Accountants (AICPA), Information Management and Technology Assurance Section.</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t>[Optional] Real-world example(s):</w:t>
      </w:r>
    </w:p>
    <w:p w:rsidR="000A3EFA" w:rsidRPr="000A3EFA" w:rsidRDefault="000A3EFA" w:rsidP="000A3EFA">
      <w:pPr>
        <w:numPr>
          <w:ilvl w:val="0"/>
          <w:numId w:val="19"/>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From </w:t>
      </w:r>
      <w:proofErr w:type="spellStart"/>
      <w:r w:rsidRPr="000A3EFA">
        <w:rPr>
          <w:rFonts w:ascii="Arial" w:eastAsia="Times New Roman" w:hAnsi="Arial" w:cs="Arial"/>
          <w:color w:val="000000"/>
          <w:sz w:val="22"/>
          <w:szCs w:val="22"/>
        </w:rPr>
        <w:t>Compstat</w:t>
      </w:r>
      <w:proofErr w:type="spellEnd"/>
      <w:r w:rsidRPr="000A3EFA">
        <w:rPr>
          <w:rFonts w:ascii="Arial" w:eastAsia="Times New Roman" w:hAnsi="Arial" w:cs="Arial"/>
          <w:color w:val="000000"/>
          <w:sz w:val="22"/>
          <w:szCs w:val="22"/>
        </w:rPr>
        <w:t xml:space="preserve"> to Gov 2.0 Big Data in New York City Management - either PDF (available on Brightspace Resources folder) or </w:t>
      </w:r>
      <w:hyperlink r:id="rId16" w:history="1">
        <w:r w:rsidRPr="000A3EFA">
          <w:rPr>
            <w:rFonts w:ascii="Arial" w:eastAsia="Times New Roman" w:hAnsi="Arial" w:cs="Arial"/>
            <w:color w:val="0000FF"/>
            <w:sz w:val="22"/>
            <w:szCs w:val="22"/>
            <w:u w:val="single"/>
          </w:rPr>
          <w:t>online format</w:t>
        </w:r>
      </w:hyperlink>
    </w:p>
    <w:p w:rsidR="000A3EFA" w:rsidRPr="000A3EFA" w:rsidRDefault="000A3EFA" w:rsidP="000A3EFA">
      <w:pPr>
        <w:numPr>
          <w:ilvl w:val="0"/>
          <w:numId w:val="19"/>
        </w:numPr>
        <w:textAlignment w:val="baseline"/>
        <w:rPr>
          <w:rFonts w:ascii="Arial" w:eastAsia="Times New Roman" w:hAnsi="Arial" w:cs="Arial"/>
          <w:color w:val="000000"/>
          <w:sz w:val="22"/>
          <w:szCs w:val="22"/>
        </w:rPr>
      </w:pPr>
      <w:hyperlink r:id="rId17" w:history="1">
        <w:r w:rsidRPr="000A3EFA">
          <w:rPr>
            <w:rFonts w:ascii="Arial" w:eastAsia="Times New Roman" w:hAnsi="Arial" w:cs="Arial"/>
            <w:color w:val="1155CC"/>
            <w:sz w:val="22"/>
            <w:szCs w:val="22"/>
            <w:u w:val="single"/>
          </w:rPr>
          <w:t>COMPSTAT:  Its Origins, Evolution, and Future in Law Enforcement Agencies, Bureau of Justice Assistance (BJA)</w:t>
        </w:r>
      </w:hyperlink>
      <w:r w:rsidRPr="000A3EFA">
        <w:rPr>
          <w:rFonts w:ascii="Arial" w:eastAsia="Times New Roman" w:hAnsi="Arial" w:cs="Arial"/>
          <w:color w:val="000000"/>
          <w:sz w:val="22"/>
          <w:szCs w:val="22"/>
        </w:rPr>
        <w:t>, US Department of Justice, Police Executive Research Forum, 2013.</w:t>
      </w:r>
    </w:p>
    <w:p w:rsidR="000A3EFA" w:rsidRPr="000A3EFA" w:rsidRDefault="000A3EFA" w:rsidP="000A3EFA">
      <w:pPr>
        <w:spacing w:before="320" w:after="80"/>
        <w:outlineLvl w:val="2"/>
        <w:rPr>
          <w:rFonts w:ascii="Times New Roman" w:eastAsia="Times New Roman" w:hAnsi="Times New Roman" w:cs="Times New Roman"/>
          <w:b/>
          <w:bCs/>
          <w:sz w:val="27"/>
          <w:szCs w:val="27"/>
        </w:rPr>
      </w:pPr>
      <w:r w:rsidRPr="000A3EFA">
        <w:rPr>
          <w:rFonts w:ascii="Arial" w:eastAsia="Times New Roman" w:hAnsi="Arial" w:cs="Arial"/>
          <w:b/>
          <w:bCs/>
          <w:color w:val="000000"/>
          <w:sz w:val="28"/>
          <w:szCs w:val="28"/>
        </w:rPr>
        <w:t>Week 5 [November 29, 2022] – IN-PERSON CLASS:  Presentation, storytelling, data visualization, and color theory. </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Topics </w:t>
      </w:r>
    </w:p>
    <w:p w:rsidR="000A3EFA" w:rsidRPr="000A3EFA" w:rsidRDefault="000A3EFA" w:rsidP="000A3EFA">
      <w:pPr>
        <w:numPr>
          <w:ilvl w:val="0"/>
          <w:numId w:val="20"/>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Translate problem structuring into storytelling for persuasion</w:t>
      </w:r>
    </w:p>
    <w:p w:rsidR="000A3EFA" w:rsidRPr="000A3EFA" w:rsidRDefault="000A3EFA" w:rsidP="000A3EFA">
      <w:pPr>
        <w:numPr>
          <w:ilvl w:val="0"/>
          <w:numId w:val="20"/>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Determine how to pick the right chart types for effective data visualization</w:t>
      </w:r>
    </w:p>
    <w:p w:rsidR="000A3EFA" w:rsidRPr="000A3EFA" w:rsidRDefault="000A3EFA" w:rsidP="000A3EFA">
      <w:pPr>
        <w:numPr>
          <w:ilvl w:val="0"/>
          <w:numId w:val="20"/>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Apply color theory to ensure effective data visualization</w:t>
      </w:r>
    </w:p>
    <w:p w:rsidR="000A3EFA" w:rsidRPr="000A3EFA" w:rsidRDefault="000A3EFA" w:rsidP="000A3EFA">
      <w:pPr>
        <w:numPr>
          <w:ilvl w:val="0"/>
          <w:numId w:val="20"/>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Introduction to Tableau</w:t>
      </w:r>
    </w:p>
    <w:p w:rsidR="000A3EFA" w:rsidRPr="000A3EFA" w:rsidRDefault="000A3EFA" w:rsidP="000A3EFA">
      <w:pPr>
        <w:rPr>
          <w:rFonts w:ascii="Times New Roman" w:eastAsia="Times New Roman" w:hAnsi="Times New Roman" w:cs="Times New Roman"/>
        </w:rPr>
      </w:pP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Readings</w:t>
      </w:r>
    </w:p>
    <w:p w:rsidR="000A3EFA" w:rsidRPr="000A3EFA" w:rsidRDefault="000A3EFA" w:rsidP="000A3EFA">
      <w:pPr>
        <w:numPr>
          <w:ilvl w:val="0"/>
          <w:numId w:val="21"/>
        </w:numPr>
        <w:textAlignment w:val="baseline"/>
        <w:rPr>
          <w:rFonts w:ascii="Arial" w:eastAsia="Times New Roman" w:hAnsi="Arial" w:cs="Arial"/>
          <w:color w:val="000000"/>
          <w:sz w:val="22"/>
          <w:szCs w:val="22"/>
        </w:rPr>
      </w:pPr>
      <w:proofErr w:type="spellStart"/>
      <w:r w:rsidRPr="000A3EFA">
        <w:rPr>
          <w:rFonts w:ascii="Arial" w:eastAsia="Times New Roman" w:hAnsi="Arial" w:cs="Arial"/>
          <w:color w:val="000000"/>
          <w:sz w:val="22"/>
          <w:szCs w:val="22"/>
        </w:rPr>
        <w:t>Berinato</w:t>
      </w:r>
      <w:proofErr w:type="spellEnd"/>
      <w:r w:rsidRPr="000A3EFA">
        <w:rPr>
          <w:rFonts w:ascii="Arial" w:eastAsia="Times New Roman" w:hAnsi="Arial" w:cs="Arial"/>
          <w:color w:val="000000"/>
          <w:sz w:val="22"/>
          <w:szCs w:val="22"/>
        </w:rPr>
        <w:t xml:space="preserve">, Scott, “Visualizations That Really Work,” </w:t>
      </w:r>
      <w:r w:rsidRPr="000A3EFA">
        <w:rPr>
          <w:rFonts w:ascii="Arial" w:eastAsia="Times New Roman" w:hAnsi="Arial" w:cs="Arial"/>
          <w:i/>
          <w:iCs/>
          <w:color w:val="000000"/>
          <w:sz w:val="22"/>
          <w:szCs w:val="22"/>
        </w:rPr>
        <w:t>Harvard Business Review</w:t>
      </w:r>
      <w:r w:rsidRPr="000A3EFA">
        <w:rPr>
          <w:rFonts w:ascii="Arial" w:eastAsia="Times New Roman" w:hAnsi="Arial" w:cs="Arial"/>
          <w:color w:val="000000"/>
          <w:sz w:val="22"/>
          <w:szCs w:val="22"/>
        </w:rPr>
        <w:t>, June 2016.</w:t>
      </w:r>
    </w:p>
    <w:p w:rsidR="000A3EFA" w:rsidRPr="000A3EFA" w:rsidRDefault="000A3EFA" w:rsidP="000A3EFA">
      <w:pPr>
        <w:numPr>
          <w:ilvl w:val="0"/>
          <w:numId w:val="21"/>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Anderson, Chris, “How to Give a Killer Presentation, Lessons from TED,” </w:t>
      </w:r>
      <w:r w:rsidRPr="000A3EFA">
        <w:rPr>
          <w:rFonts w:ascii="Arial" w:eastAsia="Times New Roman" w:hAnsi="Arial" w:cs="Arial"/>
          <w:i/>
          <w:iCs/>
          <w:color w:val="000000"/>
          <w:sz w:val="22"/>
          <w:szCs w:val="22"/>
        </w:rPr>
        <w:t>Harvard Business Review</w:t>
      </w:r>
      <w:r w:rsidRPr="000A3EFA">
        <w:rPr>
          <w:rFonts w:ascii="Arial" w:eastAsia="Times New Roman" w:hAnsi="Arial" w:cs="Arial"/>
          <w:color w:val="000000"/>
          <w:sz w:val="22"/>
          <w:szCs w:val="22"/>
        </w:rPr>
        <w:t>, June 2013.</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t>[Optional] Reference Readings:</w:t>
      </w:r>
    </w:p>
    <w:p w:rsidR="000A3EFA" w:rsidRPr="000A3EFA" w:rsidRDefault="000A3EFA" w:rsidP="000A3EFA">
      <w:pPr>
        <w:numPr>
          <w:ilvl w:val="0"/>
          <w:numId w:val="22"/>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Roam, Dan (2009), </w:t>
      </w:r>
      <w:r w:rsidRPr="000A3EFA">
        <w:rPr>
          <w:rFonts w:ascii="Arial" w:eastAsia="Times New Roman" w:hAnsi="Arial" w:cs="Arial"/>
          <w:i/>
          <w:iCs/>
          <w:color w:val="000000"/>
          <w:sz w:val="22"/>
          <w:szCs w:val="22"/>
        </w:rPr>
        <w:t>The Back of the Napkin: Solving Problems and Selling Ideas with Pictures</w:t>
      </w:r>
      <w:r w:rsidRPr="000A3EFA">
        <w:rPr>
          <w:rFonts w:ascii="Arial" w:eastAsia="Times New Roman" w:hAnsi="Arial" w:cs="Arial"/>
          <w:color w:val="000000"/>
          <w:sz w:val="22"/>
          <w:szCs w:val="22"/>
        </w:rPr>
        <w:t xml:space="preserve">, New York, NY:  Penguin Group (USA) LLC, </w:t>
      </w:r>
      <w:proofErr w:type="spellStart"/>
      <w:r w:rsidRPr="000A3EFA">
        <w:rPr>
          <w:rFonts w:ascii="Arial" w:eastAsia="Times New Roman" w:hAnsi="Arial" w:cs="Arial"/>
          <w:color w:val="000000"/>
          <w:sz w:val="22"/>
          <w:szCs w:val="22"/>
        </w:rPr>
        <w:t>pgs</w:t>
      </w:r>
      <w:proofErr w:type="spellEnd"/>
      <w:r w:rsidRPr="000A3EFA">
        <w:rPr>
          <w:rFonts w:ascii="Arial" w:eastAsia="Times New Roman" w:hAnsi="Arial" w:cs="Arial"/>
          <w:color w:val="000000"/>
          <w:sz w:val="22"/>
          <w:szCs w:val="22"/>
        </w:rPr>
        <w:t xml:space="preserve"> 301 – 711.</w:t>
      </w:r>
    </w:p>
    <w:p w:rsidR="000A3EFA" w:rsidRPr="000A3EFA" w:rsidRDefault="000A3EFA" w:rsidP="000A3EFA">
      <w:pPr>
        <w:numPr>
          <w:ilvl w:val="0"/>
          <w:numId w:val="22"/>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Tufte, Edward R. (1990), </w:t>
      </w:r>
      <w:r w:rsidRPr="000A3EFA">
        <w:rPr>
          <w:rFonts w:ascii="Arial" w:eastAsia="Times New Roman" w:hAnsi="Arial" w:cs="Arial"/>
          <w:i/>
          <w:iCs/>
          <w:color w:val="000000"/>
          <w:sz w:val="22"/>
          <w:szCs w:val="22"/>
        </w:rPr>
        <w:t>Envisioning Information</w:t>
      </w:r>
      <w:r w:rsidRPr="000A3EFA">
        <w:rPr>
          <w:rFonts w:ascii="Arial" w:eastAsia="Times New Roman" w:hAnsi="Arial" w:cs="Arial"/>
          <w:color w:val="000000"/>
          <w:sz w:val="22"/>
          <w:szCs w:val="22"/>
        </w:rPr>
        <w:t>, New York, NY:  Graphics Press.</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t>[Optional] Real-world example(s):</w:t>
      </w:r>
    </w:p>
    <w:p w:rsidR="000A3EFA" w:rsidRPr="000A3EFA" w:rsidRDefault="000A3EFA" w:rsidP="000A3EFA">
      <w:pPr>
        <w:numPr>
          <w:ilvl w:val="0"/>
          <w:numId w:val="23"/>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w:t>
      </w:r>
      <w:hyperlink r:id="rId18" w:history="1">
        <w:r w:rsidRPr="000A3EFA">
          <w:rPr>
            <w:rFonts w:ascii="Arial" w:eastAsia="Times New Roman" w:hAnsi="Arial" w:cs="Arial"/>
            <w:color w:val="0000FF"/>
            <w:sz w:val="22"/>
            <w:szCs w:val="22"/>
            <w:u w:val="single"/>
          </w:rPr>
          <w:t>How healthy is your neighborhood for your child? Take a look</w:t>
        </w:r>
      </w:hyperlink>
      <w:r w:rsidRPr="000A3EFA">
        <w:rPr>
          <w:rFonts w:ascii="Arial" w:eastAsia="Times New Roman" w:hAnsi="Arial" w:cs="Arial"/>
          <w:color w:val="000000"/>
          <w:sz w:val="22"/>
          <w:szCs w:val="22"/>
        </w:rPr>
        <w:t>”, by Sandee LaMotte, CNN, January 22, 2020</w:t>
      </w:r>
    </w:p>
    <w:p w:rsidR="000A3EFA" w:rsidRPr="000A3EFA" w:rsidRDefault="000A3EFA" w:rsidP="000A3EFA">
      <w:pPr>
        <w:numPr>
          <w:ilvl w:val="0"/>
          <w:numId w:val="23"/>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The Child Opportunity Gap data visualizations:  </w:t>
      </w:r>
      <w:hyperlink r:id="rId19" w:history="1">
        <w:r w:rsidRPr="000A3EFA">
          <w:rPr>
            <w:rFonts w:ascii="Arial" w:eastAsia="Times New Roman" w:hAnsi="Arial" w:cs="Arial"/>
            <w:color w:val="0000FF"/>
            <w:sz w:val="22"/>
            <w:szCs w:val="22"/>
            <w:u w:val="single"/>
          </w:rPr>
          <w:t>http://www.diversitydatakids.org/research-library/data-visualization/child-opportunity-gap</w:t>
        </w:r>
      </w:hyperlink>
      <w:r w:rsidRPr="000A3EFA">
        <w:rPr>
          <w:rFonts w:ascii="Arial" w:eastAsia="Times New Roman" w:hAnsi="Arial" w:cs="Arial"/>
          <w:color w:val="000000"/>
          <w:sz w:val="22"/>
          <w:szCs w:val="22"/>
        </w:rPr>
        <w:t> </w:t>
      </w:r>
    </w:p>
    <w:p w:rsidR="000A3EFA" w:rsidRPr="000A3EFA" w:rsidRDefault="000A3EFA" w:rsidP="000A3EFA">
      <w:pPr>
        <w:numPr>
          <w:ilvl w:val="0"/>
          <w:numId w:val="23"/>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A snapshot of child opportunity across the U.S.:  </w:t>
      </w:r>
      <w:hyperlink r:id="rId20" w:history="1">
        <w:r w:rsidRPr="000A3EFA">
          <w:rPr>
            <w:rFonts w:ascii="Arial" w:eastAsia="Times New Roman" w:hAnsi="Arial" w:cs="Arial"/>
            <w:color w:val="0000FF"/>
            <w:sz w:val="22"/>
            <w:szCs w:val="22"/>
            <w:u w:val="single"/>
          </w:rPr>
          <w:t>http://www.diversitydatakids.org/research-library/data-visualization/snapshot-child-opportunity-across-us</w:t>
        </w:r>
      </w:hyperlink>
      <w:r w:rsidRPr="000A3EFA">
        <w:rPr>
          <w:rFonts w:ascii="Arial" w:eastAsia="Times New Roman" w:hAnsi="Arial" w:cs="Arial"/>
          <w:color w:val="000000"/>
          <w:sz w:val="22"/>
          <w:szCs w:val="22"/>
        </w:rPr>
        <w:t> </w:t>
      </w:r>
    </w:p>
    <w:p w:rsidR="000A3EFA" w:rsidRPr="000A3EFA" w:rsidRDefault="000A3EFA" w:rsidP="000A3EFA">
      <w:pPr>
        <w:numPr>
          <w:ilvl w:val="0"/>
          <w:numId w:val="23"/>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 xml:space="preserve">Policy Equity Assessments:  </w:t>
      </w:r>
      <w:hyperlink r:id="rId21" w:history="1">
        <w:r w:rsidRPr="000A3EFA">
          <w:rPr>
            <w:rFonts w:ascii="Arial" w:eastAsia="Times New Roman" w:hAnsi="Arial" w:cs="Arial"/>
            <w:color w:val="0000FF"/>
            <w:sz w:val="22"/>
            <w:szCs w:val="22"/>
            <w:u w:val="single"/>
          </w:rPr>
          <w:t>http://www.diversitydatakids.org/policy-equity-assessments</w:t>
        </w:r>
      </w:hyperlink>
      <w:r w:rsidRPr="000A3EFA">
        <w:rPr>
          <w:rFonts w:ascii="Arial" w:eastAsia="Times New Roman" w:hAnsi="Arial" w:cs="Arial"/>
          <w:color w:val="000000"/>
          <w:sz w:val="22"/>
          <w:szCs w:val="22"/>
        </w:rPr>
        <w:t> </w:t>
      </w:r>
    </w:p>
    <w:p w:rsidR="000A3EFA" w:rsidRPr="000A3EFA" w:rsidRDefault="000A3EFA" w:rsidP="000A3EFA">
      <w:pPr>
        <w:spacing w:before="320" w:after="80"/>
        <w:outlineLvl w:val="2"/>
        <w:rPr>
          <w:rFonts w:ascii="Times New Roman" w:eastAsia="Times New Roman" w:hAnsi="Times New Roman" w:cs="Times New Roman"/>
          <w:b/>
          <w:bCs/>
          <w:sz w:val="27"/>
          <w:szCs w:val="27"/>
        </w:rPr>
      </w:pPr>
      <w:r w:rsidRPr="000A3EFA">
        <w:rPr>
          <w:rFonts w:ascii="Arial" w:eastAsia="Times New Roman" w:hAnsi="Arial" w:cs="Arial"/>
          <w:b/>
          <w:bCs/>
          <w:color w:val="000000"/>
          <w:sz w:val="28"/>
          <w:szCs w:val="28"/>
        </w:rPr>
        <w:lastRenderedPageBreak/>
        <w:t>Week 6 [December 6, 2022] – IN-PERSON CLASS:  Using Tableau for creating charts, dashboards, and stories.</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Topics</w:t>
      </w:r>
    </w:p>
    <w:p w:rsidR="000A3EFA" w:rsidRPr="000A3EFA" w:rsidRDefault="000A3EFA" w:rsidP="000A3EFA">
      <w:pPr>
        <w:numPr>
          <w:ilvl w:val="0"/>
          <w:numId w:val="24"/>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Create a variety of charts in Tableau</w:t>
      </w:r>
    </w:p>
    <w:p w:rsidR="000A3EFA" w:rsidRPr="000A3EFA" w:rsidRDefault="000A3EFA" w:rsidP="000A3EFA">
      <w:pPr>
        <w:numPr>
          <w:ilvl w:val="0"/>
          <w:numId w:val="24"/>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Create a dashboard in Tableau with a variety of chart types</w:t>
      </w:r>
    </w:p>
    <w:p w:rsidR="000A3EFA" w:rsidRPr="000A3EFA" w:rsidRDefault="000A3EFA" w:rsidP="000A3EFA">
      <w:pPr>
        <w:numPr>
          <w:ilvl w:val="0"/>
          <w:numId w:val="24"/>
        </w:numPr>
        <w:textAlignment w:val="baseline"/>
        <w:rPr>
          <w:rFonts w:ascii="Arial" w:eastAsia="Times New Roman" w:hAnsi="Arial" w:cs="Arial"/>
          <w:color w:val="000000"/>
          <w:sz w:val="22"/>
          <w:szCs w:val="22"/>
        </w:rPr>
      </w:pPr>
      <w:r w:rsidRPr="000A3EFA">
        <w:rPr>
          <w:rFonts w:ascii="Arial" w:eastAsia="Times New Roman" w:hAnsi="Arial" w:cs="Arial"/>
          <w:color w:val="000000"/>
          <w:sz w:val="22"/>
          <w:szCs w:val="22"/>
        </w:rPr>
        <w:t>Build Stories and explore Tableau’s power for narrative presentation</w:t>
      </w:r>
    </w:p>
    <w:p w:rsidR="000A3EFA" w:rsidRPr="000A3EFA" w:rsidRDefault="000A3EFA" w:rsidP="000A3EFA">
      <w:pPr>
        <w:spacing w:before="280" w:after="80"/>
        <w:outlineLvl w:val="3"/>
        <w:rPr>
          <w:rFonts w:ascii="Times New Roman" w:eastAsia="Times New Roman" w:hAnsi="Times New Roman" w:cs="Times New Roman"/>
          <w:b/>
          <w:bCs/>
        </w:rPr>
      </w:pPr>
      <w:r w:rsidRPr="000A3EFA">
        <w:rPr>
          <w:rFonts w:ascii="Arial" w:eastAsia="Times New Roman" w:hAnsi="Arial" w:cs="Arial"/>
          <w:b/>
          <w:bCs/>
          <w:color w:val="000000"/>
        </w:rPr>
        <w:t>Readings:</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t>[Optional] </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 xml:space="preserve">Cindi Howson, James Richardson, Rita </w:t>
      </w:r>
      <w:proofErr w:type="spellStart"/>
      <w:r w:rsidRPr="000A3EFA">
        <w:rPr>
          <w:rFonts w:ascii="Arial" w:eastAsia="Times New Roman" w:hAnsi="Arial" w:cs="Arial"/>
          <w:color w:val="000000"/>
          <w:sz w:val="22"/>
          <w:szCs w:val="22"/>
        </w:rPr>
        <w:t>Sallam</w:t>
      </w:r>
      <w:proofErr w:type="spellEnd"/>
      <w:r w:rsidRPr="000A3EFA">
        <w:rPr>
          <w:rFonts w:ascii="Arial" w:eastAsia="Times New Roman" w:hAnsi="Arial" w:cs="Arial"/>
          <w:color w:val="000000"/>
          <w:sz w:val="22"/>
          <w:szCs w:val="22"/>
        </w:rPr>
        <w:t xml:space="preserve">, Austin </w:t>
      </w:r>
      <w:proofErr w:type="spellStart"/>
      <w:r w:rsidRPr="000A3EFA">
        <w:rPr>
          <w:rFonts w:ascii="Arial" w:eastAsia="Times New Roman" w:hAnsi="Arial" w:cs="Arial"/>
          <w:color w:val="000000"/>
          <w:sz w:val="22"/>
          <w:szCs w:val="22"/>
        </w:rPr>
        <w:t>Kronz</w:t>
      </w:r>
      <w:proofErr w:type="spellEnd"/>
      <w:r w:rsidRPr="000A3EFA">
        <w:rPr>
          <w:rFonts w:ascii="Arial" w:eastAsia="Times New Roman" w:hAnsi="Arial" w:cs="Arial"/>
          <w:color w:val="000000"/>
          <w:sz w:val="22"/>
          <w:szCs w:val="22"/>
        </w:rPr>
        <w:t xml:space="preserve">, </w:t>
      </w:r>
      <w:r w:rsidRPr="000A3EFA">
        <w:rPr>
          <w:rFonts w:ascii="Arial" w:eastAsia="Times New Roman" w:hAnsi="Arial" w:cs="Arial"/>
          <w:i/>
          <w:iCs/>
          <w:color w:val="000000"/>
          <w:sz w:val="22"/>
          <w:szCs w:val="22"/>
        </w:rPr>
        <w:t>Magic Quadrant for Business Intelligence and Analytics Platforms</w:t>
      </w:r>
      <w:r w:rsidRPr="000A3EFA">
        <w:rPr>
          <w:rFonts w:ascii="Arial" w:eastAsia="Times New Roman" w:hAnsi="Arial" w:cs="Arial"/>
          <w:color w:val="000000"/>
          <w:sz w:val="22"/>
          <w:szCs w:val="22"/>
        </w:rPr>
        <w:t>, Gartner Research, 11 February 2019.</w:t>
      </w:r>
    </w:p>
    <w:p w:rsidR="000A3EFA" w:rsidRPr="000A3EFA" w:rsidRDefault="000A3EFA" w:rsidP="000A3EFA">
      <w:pPr>
        <w:spacing w:before="240" w:after="80"/>
        <w:outlineLvl w:val="4"/>
        <w:rPr>
          <w:rFonts w:ascii="Times New Roman" w:eastAsia="Times New Roman" w:hAnsi="Times New Roman" w:cs="Times New Roman"/>
          <w:b/>
          <w:bCs/>
          <w:sz w:val="20"/>
          <w:szCs w:val="20"/>
        </w:rPr>
      </w:pPr>
      <w:r w:rsidRPr="000A3EFA">
        <w:rPr>
          <w:rFonts w:ascii="Arial" w:eastAsia="Times New Roman" w:hAnsi="Arial" w:cs="Arial"/>
          <w:b/>
          <w:bCs/>
          <w:color w:val="000000"/>
          <w:sz w:val="22"/>
          <w:szCs w:val="22"/>
        </w:rPr>
        <w:t>[Optional] Real-world example(s):</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 xml:space="preserve">See example visualizations in </w:t>
      </w:r>
      <w:hyperlink r:id="rId22" w:history="1">
        <w:r w:rsidRPr="000A3EFA">
          <w:rPr>
            <w:rFonts w:ascii="Arial" w:eastAsia="Times New Roman" w:hAnsi="Arial" w:cs="Arial"/>
            <w:color w:val="0000FF"/>
            <w:sz w:val="22"/>
            <w:szCs w:val="22"/>
            <w:u w:val="single"/>
          </w:rPr>
          <w:t>Tableau Public</w:t>
        </w:r>
      </w:hyperlink>
      <w:r w:rsidRPr="000A3EFA">
        <w:rPr>
          <w:rFonts w:ascii="Arial" w:eastAsia="Times New Roman" w:hAnsi="Arial" w:cs="Arial"/>
          <w:color w:val="000000"/>
          <w:sz w:val="22"/>
          <w:szCs w:val="22"/>
        </w:rPr>
        <w:t>.</w:t>
      </w:r>
    </w:p>
    <w:p w:rsidR="000A3EFA" w:rsidRPr="000A3EFA" w:rsidRDefault="000A3EFA" w:rsidP="000A3EFA">
      <w:pPr>
        <w:spacing w:before="320" w:after="80"/>
        <w:outlineLvl w:val="2"/>
        <w:rPr>
          <w:rFonts w:ascii="Times New Roman" w:eastAsia="Times New Roman" w:hAnsi="Times New Roman" w:cs="Times New Roman"/>
          <w:b/>
          <w:bCs/>
          <w:sz w:val="27"/>
          <w:szCs w:val="27"/>
        </w:rPr>
      </w:pPr>
      <w:r w:rsidRPr="000A3EFA">
        <w:rPr>
          <w:rFonts w:ascii="Arial" w:eastAsia="Times New Roman" w:hAnsi="Arial" w:cs="Arial"/>
          <w:b/>
          <w:bCs/>
          <w:color w:val="000000"/>
          <w:sz w:val="28"/>
          <w:szCs w:val="28"/>
        </w:rPr>
        <w:t>Week 7 [December 13, 2022] – IN-PERSON CLASS:  Class assessment and more Tableau visualizations</w:t>
      </w:r>
    </w:p>
    <w:p w:rsidR="000A3EFA" w:rsidRPr="000A3EFA" w:rsidRDefault="000A3EFA" w:rsidP="000A3EFA">
      <w:pPr>
        <w:spacing w:before="320" w:after="80"/>
        <w:outlineLvl w:val="2"/>
        <w:rPr>
          <w:rFonts w:ascii="Times New Roman" w:eastAsia="Times New Roman" w:hAnsi="Times New Roman" w:cs="Times New Roman"/>
          <w:b/>
          <w:bCs/>
          <w:sz w:val="27"/>
          <w:szCs w:val="27"/>
        </w:rPr>
      </w:pPr>
      <w:r w:rsidRPr="000A3EFA">
        <w:rPr>
          <w:rFonts w:ascii="Arial" w:eastAsia="Times New Roman" w:hAnsi="Arial" w:cs="Arial"/>
          <w:b/>
          <w:bCs/>
          <w:color w:val="000000"/>
          <w:sz w:val="28"/>
          <w:szCs w:val="28"/>
        </w:rPr>
        <w:t>Final project is due December 18, 2022 by midnight</w:t>
      </w:r>
    </w:p>
    <w:p w:rsidR="000A3EFA" w:rsidRPr="000A3EFA" w:rsidRDefault="000A3EFA" w:rsidP="000A3EFA">
      <w:pPr>
        <w:rPr>
          <w:rFonts w:ascii="Times New Roman" w:eastAsia="Times New Roman" w:hAnsi="Times New Roman" w:cs="Times New Roman"/>
        </w:rPr>
      </w:pP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Sample Source Readings</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Readings drawn from academic &amp; business journals and news sources will also be used to encourage in class discussion, illustrate principles, and facilitate learning.  Examples include:</w:t>
      </w:r>
    </w:p>
    <w:p w:rsidR="000A3EFA" w:rsidRPr="000A3EFA" w:rsidRDefault="000A3EFA" w:rsidP="000A3EFA">
      <w:pPr>
        <w:numPr>
          <w:ilvl w:val="0"/>
          <w:numId w:val="25"/>
        </w:numPr>
        <w:ind w:left="360"/>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 xml:space="preserve">Use of </w:t>
      </w:r>
      <w:hyperlink r:id="rId23" w:history="1">
        <w:r w:rsidRPr="000A3EFA">
          <w:rPr>
            <w:rFonts w:ascii="Arial" w:eastAsia="Times New Roman" w:hAnsi="Arial" w:cs="Arial"/>
            <w:color w:val="0000FF"/>
            <w:sz w:val="22"/>
            <w:szCs w:val="22"/>
            <w:u w:val="single"/>
          </w:rPr>
          <w:t>Tableau Public</w:t>
        </w:r>
      </w:hyperlink>
      <w:r w:rsidRPr="000A3EFA">
        <w:rPr>
          <w:rFonts w:ascii="Arial" w:eastAsia="Times New Roman" w:hAnsi="Arial" w:cs="Arial"/>
          <w:color w:val="000000"/>
          <w:sz w:val="22"/>
          <w:szCs w:val="22"/>
        </w:rPr>
        <w:t xml:space="preserve"> to share student results data and other publicly available data sets</w:t>
      </w:r>
    </w:p>
    <w:p w:rsidR="000A3EFA" w:rsidRPr="000A3EFA" w:rsidRDefault="000A3EFA" w:rsidP="000A3EFA">
      <w:pPr>
        <w:numPr>
          <w:ilvl w:val="0"/>
          <w:numId w:val="25"/>
        </w:numPr>
        <w:ind w:left="360"/>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 xml:space="preserve">Use of </w:t>
      </w:r>
      <w:hyperlink r:id="rId24" w:history="1">
        <w:r w:rsidRPr="000A3EFA">
          <w:rPr>
            <w:rFonts w:ascii="Arial" w:eastAsia="Times New Roman" w:hAnsi="Arial" w:cs="Arial"/>
            <w:color w:val="0000FF"/>
            <w:sz w:val="22"/>
            <w:szCs w:val="22"/>
            <w:u w:val="single"/>
          </w:rPr>
          <w:t>Gap Minder</w:t>
        </w:r>
      </w:hyperlink>
      <w:r w:rsidRPr="000A3EFA">
        <w:rPr>
          <w:rFonts w:ascii="Arial" w:eastAsia="Times New Roman" w:hAnsi="Arial" w:cs="Arial"/>
          <w:color w:val="000000"/>
          <w:sz w:val="22"/>
          <w:szCs w:val="22"/>
        </w:rPr>
        <w:t xml:space="preserve"> to show how human development has changed over time</w:t>
      </w:r>
    </w:p>
    <w:p w:rsidR="000A3EFA" w:rsidRPr="000A3EFA" w:rsidRDefault="000A3EFA" w:rsidP="000A3EFA">
      <w:pPr>
        <w:numPr>
          <w:ilvl w:val="0"/>
          <w:numId w:val="25"/>
        </w:numPr>
        <w:ind w:left="360"/>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 xml:space="preserve">Growth in the use of technology in governance and politics </w:t>
      </w:r>
      <w:proofErr w:type="gramStart"/>
      <w:r w:rsidRPr="000A3EFA">
        <w:rPr>
          <w:rFonts w:ascii="Arial" w:eastAsia="Times New Roman" w:hAnsi="Arial" w:cs="Arial"/>
          <w:color w:val="000000"/>
          <w:sz w:val="22"/>
          <w:szCs w:val="22"/>
        </w:rPr>
        <w:t>e.g.</w:t>
      </w:r>
      <w:proofErr w:type="gramEnd"/>
      <w:r w:rsidRPr="000A3EFA">
        <w:rPr>
          <w:rFonts w:ascii="Arial" w:eastAsia="Times New Roman" w:hAnsi="Arial" w:cs="Arial"/>
          <w:color w:val="000000"/>
          <w:sz w:val="22"/>
          <w:szCs w:val="22"/>
        </w:rPr>
        <w:t> </w:t>
      </w:r>
      <w:hyperlink r:id="rId25" w:history="1">
        <w:r w:rsidRPr="000A3EFA">
          <w:rPr>
            <w:rFonts w:ascii="Arial" w:eastAsia="Times New Roman" w:hAnsi="Arial" w:cs="Arial"/>
            <w:color w:val="0000FF"/>
            <w:sz w:val="22"/>
            <w:szCs w:val="22"/>
            <w:u w:val="single"/>
          </w:rPr>
          <w:t>civic tech</w:t>
        </w:r>
      </w:hyperlink>
      <w:r w:rsidRPr="000A3EFA">
        <w:rPr>
          <w:rFonts w:ascii="Arial" w:eastAsia="Times New Roman" w:hAnsi="Arial" w:cs="Arial"/>
          <w:color w:val="000000"/>
          <w:sz w:val="22"/>
          <w:szCs w:val="22"/>
        </w:rPr>
        <w:t>: </w:t>
      </w:r>
      <w:proofErr w:type="spellStart"/>
      <w:r w:rsidRPr="000A3EFA">
        <w:rPr>
          <w:rFonts w:ascii="Noto Sans Symbols" w:eastAsia="Times New Roman" w:hAnsi="Noto Sans Symbols" w:cs="Times New Roman"/>
          <w:color w:val="000000"/>
          <w:sz w:val="22"/>
          <w:szCs w:val="22"/>
        </w:rPr>
        <w:fldChar w:fldCharType="begin"/>
      </w:r>
      <w:r w:rsidRPr="000A3EFA">
        <w:rPr>
          <w:rFonts w:ascii="Noto Sans Symbols" w:eastAsia="Times New Roman" w:hAnsi="Noto Sans Symbols" w:cs="Times New Roman"/>
          <w:color w:val="000000"/>
          <w:sz w:val="22"/>
          <w:szCs w:val="22"/>
        </w:rPr>
        <w:instrText xml:space="preserve"> HYPERLINK "http://techpresident.com/" </w:instrText>
      </w:r>
      <w:r w:rsidRPr="000A3EFA">
        <w:rPr>
          <w:rFonts w:ascii="Noto Sans Symbols" w:eastAsia="Times New Roman" w:hAnsi="Noto Sans Symbols" w:cs="Times New Roman"/>
          <w:color w:val="000000"/>
          <w:sz w:val="22"/>
          <w:szCs w:val="22"/>
        </w:rPr>
        <w:fldChar w:fldCharType="separate"/>
      </w:r>
      <w:r w:rsidRPr="000A3EFA">
        <w:rPr>
          <w:rFonts w:ascii="Arial" w:eastAsia="Times New Roman" w:hAnsi="Arial" w:cs="Arial"/>
          <w:color w:val="0000FF"/>
          <w:sz w:val="22"/>
          <w:szCs w:val="22"/>
          <w:u w:val="single"/>
        </w:rPr>
        <w:t>TechPresident</w:t>
      </w:r>
      <w:proofErr w:type="spellEnd"/>
      <w:r w:rsidRPr="000A3EFA">
        <w:rPr>
          <w:rFonts w:ascii="Noto Sans Symbols" w:eastAsia="Times New Roman" w:hAnsi="Noto Sans Symbols" w:cs="Times New Roman"/>
          <w:color w:val="000000"/>
          <w:sz w:val="22"/>
          <w:szCs w:val="22"/>
        </w:rPr>
        <w:fldChar w:fldCharType="end"/>
      </w:r>
    </w:p>
    <w:p w:rsidR="000A3EFA" w:rsidRPr="000A3EFA" w:rsidRDefault="000A3EFA" w:rsidP="000A3EFA">
      <w:pPr>
        <w:numPr>
          <w:ilvl w:val="0"/>
          <w:numId w:val="25"/>
        </w:numPr>
        <w:ind w:left="360"/>
        <w:textAlignment w:val="baseline"/>
        <w:rPr>
          <w:rFonts w:ascii="Noto Sans Symbols" w:eastAsia="Times New Roman" w:hAnsi="Noto Sans Symbols" w:cs="Times New Roman"/>
          <w:color w:val="000000"/>
          <w:sz w:val="22"/>
          <w:szCs w:val="22"/>
        </w:rPr>
      </w:pPr>
      <w:r w:rsidRPr="000A3EFA">
        <w:rPr>
          <w:rFonts w:ascii="Arial" w:eastAsia="Times New Roman" w:hAnsi="Arial" w:cs="Arial"/>
          <w:color w:val="000000"/>
          <w:sz w:val="22"/>
          <w:szCs w:val="22"/>
        </w:rPr>
        <w:t>Including the ability to discern and critically assess those presenting data:  </w:t>
      </w:r>
      <w:hyperlink r:id="rId26" w:history="1">
        <w:r w:rsidRPr="000A3EFA">
          <w:rPr>
            <w:rFonts w:ascii="Arial" w:eastAsia="Times New Roman" w:hAnsi="Arial" w:cs="Arial"/>
            <w:color w:val="0000FF"/>
            <w:sz w:val="22"/>
            <w:szCs w:val="22"/>
            <w:u w:val="single"/>
          </w:rPr>
          <w:t>FiveThirtyEight</w:t>
        </w:r>
      </w:hyperlink>
      <w:r w:rsidRPr="000A3EFA">
        <w:rPr>
          <w:rFonts w:ascii="Arial" w:eastAsia="Times New Roman" w:hAnsi="Arial" w:cs="Arial"/>
          <w:color w:val="000000"/>
          <w:sz w:val="22"/>
          <w:szCs w:val="22"/>
        </w:rPr>
        <w:t> ; </w:t>
      </w:r>
      <w:hyperlink r:id="rId27" w:history="1">
        <w:r w:rsidRPr="000A3EFA">
          <w:rPr>
            <w:rFonts w:ascii="Arial" w:eastAsia="Times New Roman" w:hAnsi="Arial" w:cs="Arial"/>
            <w:color w:val="0000FF"/>
            <w:sz w:val="22"/>
            <w:szCs w:val="22"/>
            <w:u w:val="single"/>
          </w:rPr>
          <w:t xml:space="preserve">New York Times: </w:t>
        </w:r>
        <w:proofErr w:type="spellStart"/>
        <w:r w:rsidRPr="000A3EFA">
          <w:rPr>
            <w:rFonts w:ascii="Arial" w:eastAsia="Times New Roman" w:hAnsi="Arial" w:cs="Arial"/>
            <w:color w:val="0000FF"/>
            <w:sz w:val="22"/>
            <w:szCs w:val="22"/>
            <w:u w:val="single"/>
          </w:rPr>
          <w:t>TheUpshot</w:t>
        </w:r>
        <w:proofErr w:type="spellEnd"/>
      </w:hyperlink>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Academic Integrity</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t xml:space="preserve">Academic integrity is a vital component of Wagner and NYU. All students enrolled in this class are required to read and abide by </w:t>
      </w:r>
      <w:hyperlink r:id="rId28" w:history="1">
        <w:r w:rsidRPr="000A3EFA">
          <w:rPr>
            <w:rFonts w:ascii="Arial" w:eastAsia="Times New Roman" w:hAnsi="Arial" w:cs="Arial"/>
            <w:color w:val="0000FF"/>
            <w:sz w:val="22"/>
            <w:szCs w:val="22"/>
            <w:u w:val="single"/>
          </w:rPr>
          <w:t>Wagner’s Academic Code</w:t>
        </w:r>
      </w:hyperlink>
      <w:r w:rsidRPr="000A3EFA">
        <w:rPr>
          <w:rFonts w:ascii="Arial" w:eastAsia="Times New Roman" w:hAnsi="Arial" w:cs="Arial"/>
          <w:color w:val="000000"/>
          <w:sz w:val="22"/>
          <w:szCs w:val="22"/>
        </w:rPr>
        <w:t>. All Wagner students have already read and signed the </w:t>
      </w:r>
      <w:hyperlink r:id="rId29" w:history="1">
        <w:r w:rsidRPr="000A3EFA">
          <w:rPr>
            <w:rFonts w:ascii="Arial" w:eastAsia="Times New Roman" w:hAnsi="Arial" w:cs="Arial"/>
            <w:color w:val="0000FF"/>
            <w:sz w:val="22"/>
            <w:szCs w:val="22"/>
            <w:u w:val="single"/>
          </w:rPr>
          <w:t>Wagner Academic Oath</w:t>
        </w:r>
      </w:hyperlink>
      <w:r w:rsidRPr="000A3EFA">
        <w:rPr>
          <w:rFonts w:ascii="Arial" w:eastAsia="Times New Roman" w:hAnsi="Arial" w:cs="Arial"/>
          <w:color w:val="000000"/>
          <w:sz w:val="22"/>
          <w:szCs w:val="22"/>
        </w:rPr>
        <w:t xml:space="preserve">. </w:t>
      </w:r>
      <w:r w:rsidRPr="000A3EFA">
        <w:rPr>
          <w:rFonts w:ascii="Arial" w:eastAsia="Times New Roman" w:hAnsi="Arial" w:cs="Arial"/>
          <w:color w:val="222222"/>
          <w:sz w:val="22"/>
          <w:szCs w:val="22"/>
          <w:shd w:val="clear" w:color="auto" w:fill="FFFFFF"/>
        </w:rPr>
        <w:t>Plagiarism of any form will not be tolerated and students in this class are expected to report violations to me. </w:t>
      </w:r>
      <w:r w:rsidRPr="000A3EFA">
        <w:rPr>
          <w:rFonts w:ascii="Arial" w:eastAsia="Times New Roman" w:hAnsi="Arial" w:cs="Arial"/>
          <w:color w:val="000000"/>
          <w:sz w:val="22"/>
          <w:szCs w:val="22"/>
        </w:rPr>
        <w:t>If any student in this class is unsure about what is expected of you and how to abide by the academic code, you should consult with me.</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Henry and Lucy Moses Center for Students with Disabilities at NYU</w:t>
      </w:r>
    </w:p>
    <w:p w:rsidR="000A3EFA" w:rsidRPr="000A3EFA" w:rsidRDefault="000A3EFA" w:rsidP="000A3EFA">
      <w:pPr>
        <w:rPr>
          <w:rFonts w:ascii="Times New Roman" w:eastAsia="Times New Roman" w:hAnsi="Times New Roman" w:cs="Times New Roman"/>
        </w:rPr>
      </w:pPr>
      <w:r w:rsidRPr="000A3EFA">
        <w:rPr>
          <w:rFonts w:ascii="Arial" w:eastAsia="Times New Roman" w:hAnsi="Arial" w:cs="Arial"/>
          <w:color w:val="000000"/>
          <w:sz w:val="22"/>
          <w:szCs w:val="22"/>
        </w:rPr>
        <w:lastRenderedPageBreak/>
        <w:t xml:space="preserve">Academic accommodations are available for students with disabilities.  Please visit the </w:t>
      </w:r>
      <w:hyperlink r:id="rId30" w:history="1">
        <w:r w:rsidRPr="000A3EFA">
          <w:rPr>
            <w:rFonts w:ascii="Arial" w:eastAsia="Times New Roman" w:hAnsi="Arial" w:cs="Arial"/>
            <w:color w:val="0000FF"/>
            <w:sz w:val="22"/>
            <w:szCs w:val="22"/>
            <w:u w:val="single"/>
          </w:rPr>
          <w:t>Moses Center for Students with Disabilities (CSD) website</w:t>
        </w:r>
      </w:hyperlink>
      <w:r w:rsidRPr="000A3EFA">
        <w:rPr>
          <w:rFonts w:ascii="Arial" w:eastAsia="Times New Roman" w:hAnsi="Arial" w:cs="Arial"/>
          <w:color w:val="000000"/>
          <w:sz w:val="22"/>
          <w:szCs w:val="22"/>
        </w:rPr>
        <w:t xml:space="preserve"> </w:t>
      </w:r>
      <w:r w:rsidRPr="000A3EFA">
        <w:rPr>
          <w:rFonts w:ascii="Arial" w:eastAsia="Times New Roman" w:hAnsi="Arial" w:cs="Arial"/>
          <w:b/>
          <w:bCs/>
          <w:color w:val="000000"/>
          <w:sz w:val="22"/>
          <w:szCs w:val="22"/>
        </w:rPr>
        <w:t xml:space="preserve">and click the “Get Started” button. You can also call or email CSD </w:t>
      </w:r>
      <w:r w:rsidRPr="000A3EFA">
        <w:rPr>
          <w:rFonts w:ascii="Arial" w:eastAsia="Times New Roman" w:hAnsi="Arial" w:cs="Arial"/>
          <w:color w:val="000000"/>
          <w:sz w:val="22"/>
          <w:szCs w:val="22"/>
        </w:rPr>
        <w:t xml:space="preserve">(212-998-4980 or </w:t>
      </w:r>
      <w:hyperlink r:id="rId31" w:history="1">
        <w:r w:rsidRPr="000A3EFA">
          <w:rPr>
            <w:rFonts w:ascii="Arial" w:eastAsia="Times New Roman" w:hAnsi="Arial" w:cs="Arial"/>
            <w:color w:val="0000FF"/>
            <w:sz w:val="22"/>
            <w:szCs w:val="22"/>
            <w:u w:val="single"/>
          </w:rPr>
          <w:t>mosescsd@nyu.edu</w:t>
        </w:r>
      </w:hyperlink>
      <w:r w:rsidRPr="000A3EFA">
        <w:rPr>
          <w:rFonts w:ascii="Arial" w:eastAsia="Times New Roman" w:hAnsi="Arial" w:cs="Arial"/>
          <w:color w:val="000000"/>
          <w:sz w:val="22"/>
          <w:szCs w:val="22"/>
        </w:rPr>
        <w:t>) for information. Students who are requesting academic accommodations are strongly advised to reach out to the Moses Center as early as possible in the semester for assistance.</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NYU’s Calendar Policy on Religious Holidays</w:t>
      </w:r>
    </w:p>
    <w:p w:rsidR="000A3EFA" w:rsidRPr="000A3EFA" w:rsidRDefault="000A3EFA" w:rsidP="000A3EFA">
      <w:pPr>
        <w:rPr>
          <w:rFonts w:ascii="Times New Roman" w:eastAsia="Times New Roman" w:hAnsi="Times New Roman" w:cs="Times New Roman"/>
        </w:rPr>
      </w:pPr>
      <w:hyperlink r:id="rId32" w:history="1">
        <w:r w:rsidRPr="000A3EFA">
          <w:rPr>
            <w:rFonts w:ascii="Arial" w:eastAsia="Times New Roman" w:hAnsi="Arial" w:cs="Arial"/>
            <w:color w:val="0000FF"/>
            <w:sz w:val="22"/>
            <w:szCs w:val="22"/>
            <w:u w:val="single"/>
          </w:rPr>
          <w:t>NYU’s Calendar Policy on Religious Holidays</w:t>
        </w:r>
      </w:hyperlink>
      <w:r w:rsidRPr="000A3EFA">
        <w:rPr>
          <w:rFonts w:ascii="Arial" w:eastAsia="Times New Roman" w:hAnsi="Arial" w:cs="Arial"/>
          <w:color w:val="000000"/>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0A3EFA" w:rsidRPr="000A3EFA" w:rsidRDefault="000A3EFA" w:rsidP="000A3EFA">
      <w:pPr>
        <w:spacing w:before="360" w:after="120"/>
        <w:outlineLvl w:val="1"/>
        <w:rPr>
          <w:rFonts w:ascii="Times New Roman" w:eastAsia="Times New Roman" w:hAnsi="Times New Roman" w:cs="Times New Roman"/>
          <w:b/>
          <w:bCs/>
          <w:sz w:val="36"/>
          <w:szCs w:val="36"/>
        </w:rPr>
      </w:pPr>
      <w:r w:rsidRPr="000A3EFA">
        <w:rPr>
          <w:rFonts w:ascii="Arial" w:eastAsia="Times New Roman" w:hAnsi="Arial" w:cs="Arial"/>
          <w:b/>
          <w:bCs/>
          <w:color w:val="000000"/>
          <w:sz w:val="32"/>
          <w:szCs w:val="32"/>
        </w:rPr>
        <w:t>NYU’s Wellness Exchange</w:t>
      </w:r>
    </w:p>
    <w:p w:rsidR="000A3EFA" w:rsidRPr="000A3EFA" w:rsidRDefault="000A3EFA" w:rsidP="000A3EFA">
      <w:pPr>
        <w:rPr>
          <w:rFonts w:ascii="Times New Roman" w:eastAsia="Times New Roman" w:hAnsi="Times New Roman" w:cs="Times New Roman"/>
        </w:rPr>
      </w:pPr>
      <w:hyperlink r:id="rId33" w:history="1">
        <w:r w:rsidRPr="000A3EFA">
          <w:rPr>
            <w:rFonts w:ascii="Arial" w:eastAsia="Times New Roman" w:hAnsi="Arial" w:cs="Arial"/>
            <w:color w:val="0000FF"/>
            <w:sz w:val="22"/>
            <w:szCs w:val="22"/>
            <w:u w:val="single"/>
          </w:rPr>
          <w:t>NYU’s Wellness Exchange</w:t>
        </w:r>
      </w:hyperlink>
      <w:r w:rsidRPr="000A3EFA">
        <w:rPr>
          <w:rFonts w:ascii="Arial" w:eastAsia="Times New Roman" w:hAnsi="Arial" w:cs="Arial"/>
          <w:color w:val="000000"/>
          <w:sz w:val="22"/>
          <w:szCs w:val="22"/>
        </w:rPr>
        <w:t xml:space="preserve"> has extensive student health and mental health resources. A private hotline (212-443-9999) is available 24/7 that connects students with a professional who can help them address day-to-day challenges and other health-related concerns.</w:t>
      </w:r>
    </w:p>
    <w:p w:rsidR="000A3EFA" w:rsidRPr="000A3EFA" w:rsidRDefault="000A3EFA" w:rsidP="000A3EFA">
      <w:pPr>
        <w:rPr>
          <w:rFonts w:ascii="Times New Roman" w:eastAsia="Times New Roman" w:hAnsi="Times New Roman" w:cs="Times New Roman"/>
        </w:rPr>
      </w:pPr>
    </w:p>
    <w:p w:rsidR="000A3EFA" w:rsidRDefault="000A3EFA"/>
    <w:sectPr w:rsidR="000A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425"/>
    <w:multiLevelType w:val="multilevel"/>
    <w:tmpl w:val="EB5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22C3"/>
    <w:multiLevelType w:val="multilevel"/>
    <w:tmpl w:val="B89C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B6188"/>
    <w:multiLevelType w:val="multilevel"/>
    <w:tmpl w:val="D57C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62EA5"/>
    <w:multiLevelType w:val="multilevel"/>
    <w:tmpl w:val="7E2C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81CD7"/>
    <w:multiLevelType w:val="multilevel"/>
    <w:tmpl w:val="136A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235F0"/>
    <w:multiLevelType w:val="multilevel"/>
    <w:tmpl w:val="043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4231"/>
    <w:multiLevelType w:val="multilevel"/>
    <w:tmpl w:val="0FBC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B24F7"/>
    <w:multiLevelType w:val="multilevel"/>
    <w:tmpl w:val="B9F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A2061"/>
    <w:multiLevelType w:val="multilevel"/>
    <w:tmpl w:val="AAE0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F7548"/>
    <w:multiLevelType w:val="multilevel"/>
    <w:tmpl w:val="23D2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3131A"/>
    <w:multiLevelType w:val="multilevel"/>
    <w:tmpl w:val="19E6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33A66"/>
    <w:multiLevelType w:val="multilevel"/>
    <w:tmpl w:val="37EE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76048"/>
    <w:multiLevelType w:val="multilevel"/>
    <w:tmpl w:val="DDA6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C6B0B"/>
    <w:multiLevelType w:val="multilevel"/>
    <w:tmpl w:val="BAE6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750F2A"/>
    <w:multiLevelType w:val="multilevel"/>
    <w:tmpl w:val="07B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033A0"/>
    <w:multiLevelType w:val="multilevel"/>
    <w:tmpl w:val="654E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B1BB1"/>
    <w:multiLevelType w:val="multilevel"/>
    <w:tmpl w:val="2FA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B347C2"/>
    <w:multiLevelType w:val="multilevel"/>
    <w:tmpl w:val="4F18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F163A"/>
    <w:multiLevelType w:val="multilevel"/>
    <w:tmpl w:val="B1F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E6190"/>
    <w:multiLevelType w:val="multilevel"/>
    <w:tmpl w:val="3418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C15AD9"/>
    <w:multiLevelType w:val="multilevel"/>
    <w:tmpl w:val="E6A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1D53DE"/>
    <w:multiLevelType w:val="multilevel"/>
    <w:tmpl w:val="662A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F0251D"/>
    <w:multiLevelType w:val="multilevel"/>
    <w:tmpl w:val="059A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02304"/>
    <w:multiLevelType w:val="multilevel"/>
    <w:tmpl w:val="075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8B4FD2"/>
    <w:multiLevelType w:val="multilevel"/>
    <w:tmpl w:val="FE74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4383301">
    <w:abstractNumId w:val="19"/>
  </w:num>
  <w:num w:numId="2" w16cid:durableId="995182249">
    <w:abstractNumId w:val="17"/>
  </w:num>
  <w:num w:numId="3" w16cid:durableId="30811190">
    <w:abstractNumId w:val="11"/>
  </w:num>
  <w:num w:numId="4" w16cid:durableId="1875465288">
    <w:abstractNumId w:val="20"/>
  </w:num>
  <w:num w:numId="5" w16cid:durableId="452332340">
    <w:abstractNumId w:val="3"/>
  </w:num>
  <w:num w:numId="6" w16cid:durableId="2102408545">
    <w:abstractNumId w:val="10"/>
  </w:num>
  <w:num w:numId="7" w16cid:durableId="212472650">
    <w:abstractNumId w:val="14"/>
  </w:num>
  <w:num w:numId="8" w16cid:durableId="1080295846">
    <w:abstractNumId w:val="13"/>
  </w:num>
  <w:num w:numId="9" w16cid:durableId="1599681726">
    <w:abstractNumId w:val="24"/>
  </w:num>
  <w:num w:numId="10" w16cid:durableId="308218824">
    <w:abstractNumId w:val="5"/>
  </w:num>
  <w:num w:numId="11" w16cid:durableId="595672064">
    <w:abstractNumId w:val="2"/>
  </w:num>
  <w:num w:numId="12" w16cid:durableId="70081526">
    <w:abstractNumId w:val="6"/>
  </w:num>
  <w:num w:numId="13" w16cid:durableId="1129323396">
    <w:abstractNumId w:val="16"/>
  </w:num>
  <w:num w:numId="14" w16cid:durableId="1034503541">
    <w:abstractNumId w:val="12"/>
  </w:num>
  <w:num w:numId="15" w16cid:durableId="1716808372">
    <w:abstractNumId w:val="9"/>
  </w:num>
  <w:num w:numId="16" w16cid:durableId="965160035">
    <w:abstractNumId w:val="1"/>
  </w:num>
  <w:num w:numId="17" w16cid:durableId="228536559">
    <w:abstractNumId w:val="18"/>
  </w:num>
  <w:num w:numId="18" w16cid:durableId="1988320367">
    <w:abstractNumId w:val="8"/>
  </w:num>
  <w:num w:numId="19" w16cid:durableId="1476483354">
    <w:abstractNumId w:val="0"/>
  </w:num>
  <w:num w:numId="20" w16cid:durableId="1904830342">
    <w:abstractNumId w:val="7"/>
  </w:num>
  <w:num w:numId="21" w16cid:durableId="1357275209">
    <w:abstractNumId w:val="4"/>
  </w:num>
  <w:num w:numId="22" w16cid:durableId="597258142">
    <w:abstractNumId w:val="23"/>
  </w:num>
  <w:num w:numId="23" w16cid:durableId="1266957519">
    <w:abstractNumId w:val="21"/>
  </w:num>
  <w:num w:numId="24" w16cid:durableId="12809932">
    <w:abstractNumId w:val="15"/>
  </w:num>
  <w:num w:numId="25" w16cid:durableId="11305931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FA"/>
    <w:rsid w:val="000A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4E661-B675-254E-90F4-77407E74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3EF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3EF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3EF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3EFA"/>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0A3EF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E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E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3E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3EFA"/>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0A3EF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A3E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A3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reproductivehealth/maternalinfanthealth/pregnancy-mortality-surveillance-system.htm" TargetMode="External"/><Relationship Id="rId18" Type="http://schemas.openxmlformats.org/officeDocument/2006/relationships/hyperlink" Target="https://www.cnn.com/2020/01/22/health/best-neighborhoods-for-kids-wellness/index.html" TargetMode="External"/><Relationship Id="rId26" Type="http://schemas.openxmlformats.org/officeDocument/2006/relationships/hyperlink" Target="https://fivethirtyeight.com/" TargetMode="External"/><Relationship Id="rId3" Type="http://schemas.openxmlformats.org/officeDocument/2006/relationships/settings" Target="settings.xml"/><Relationship Id="rId21" Type="http://schemas.openxmlformats.org/officeDocument/2006/relationships/hyperlink" Target="http://www.diversitydatakids.org/policy-equity-assessments" TargetMode="External"/><Relationship Id="rId34" Type="http://schemas.openxmlformats.org/officeDocument/2006/relationships/fontTable" Target="fontTable.xml"/><Relationship Id="rId7" Type="http://schemas.openxmlformats.org/officeDocument/2006/relationships/hyperlink" Target="https://www.ideas42.org/wp-content/uploads/2019/10/I42-1152_ChangingBehaviorPaper_3-FINAL.pdf" TargetMode="External"/><Relationship Id="rId12" Type="http://schemas.openxmlformats.org/officeDocument/2006/relationships/hyperlink" Target="https://www.cdc.gov/mmwr/volumes/68/wr/mm6818e1.htm?s_cid=mm6818e1_w" TargetMode="External"/><Relationship Id="rId17" Type="http://schemas.openxmlformats.org/officeDocument/2006/relationships/hyperlink" Target="https://bja.ojp.gov/sites/g/files/xyckuh186/files/Publications/PERF-Compstat.pdf" TargetMode="External"/><Relationship Id="rId25" Type="http://schemas.openxmlformats.org/officeDocument/2006/relationships/hyperlink" Target="http://civichall.org/civicist/" TargetMode="External"/><Relationship Id="rId33" Type="http://schemas.openxmlformats.org/officeDocument/2006/relationships/hyperlink" Target="http://www.nyu.edu/life/safety-health-wellness/wellness-exchange.html" TargetMode="External"/><Relationship Id="rId2" Type="http://schemas.openxmlformats.org/officeDocument/2006/relationships/styles" Target="styles.xml"/><Relationship Id="rId16" Type="http://schemas.openxmlformats.org/officeDocument/2006/relationships/hyperlink" Target="http://ccnmtl.columbia.edu/projects/caseconsortium/casestudies/127/casestudy/www/layout/case_id_127.html" TargetMode="External"/><Relationship Id="rId20" Type="http://schemas.openxmlformats.org/officeDocument/2006/relationships/hyperlink" Target="http://www.diversitydatakids.org/research-library/data-visualization/snapshot-child-opportunity-across-us" TargetMode="External"/><Relationship Id="rId29" Type="http://schemas.openxmlformats.org/officeDocument/2006/relationships/hyperlink" Target="https://wagner.nyu.edu/portal/students/policies/academic-oath" TargetMode="External"/><Relationship Id="rId1" Type="http://schemas.openxmlformats.org/officeDocument/2006/relationships/numbering" Target="numbering.xml"/><Relationship Id="rId6" Type="http://schemas.openxmlformats.org/officeDocument/2006/relationships/hyperlink" Target="https://www.mckinsey.com/business-functions/mckinsey-analytics/our-insights/why-data-culture-matters" TargetMode="External"/><Relationship Id="rId11" Type="http://schemas.openxmlformats.org/officeDocument/2006/relationships/hyperlink" Target="https://www.nytimes.com/2019/05/07/health/pregnancy-deaths-.html?unlocked_article_code=4IFtsuBXYxWvn263mQjEusU6go6zj6OcWyRzSnpsDkolCvkl9LiQJfc9ivNgJU9BB2sskf2vVRYPcg9ygqfdo4NiSWSEz26oAumVgSchzAc2dTcPJY2jiDZS6goVYiU60qtps2w4ZOgfRww0Hunvxi6JSzmdxNRpUS-oCCG5rD15nYY6_ETgyW77dqJZYli-lGV8UK9BvIECsH4ZTj3pIiW1iSZvRu_J5mSJd4ZuNw0oLhxOqPlndKPkhKROAhmLZG0fEvXLBI30dF07ZFT7AEVqtuK1KG0xyHsb4nXsm40YwEJY13IuYPGFqFv2Y38qhtRNI-lyqhx-xAk&amp;smid=share-url" TargetMode="External"/><Relationship Id="rId24" Type="http://schemas.openxmlformats.org/officeDocument/2006/relationships/hyperlink" Target="https://www.gapminder.org/" TargetMode="External"/><Relationship Id="rId32" Type="http://schemas.openxmlformats.org/officeDocument/2006/relationships/hyperlink" Target="https://www.nyu.edu/about/policies-guidelines-compliance/policies-and-guidelines/university-calendar-policy-on-religious-holidays.html" TargetMode="External"/><Relationship Id="rId5" Type="http://schemas.openxmlformats.org/officeDocument/2006/relationships/image" Target="media/image1.jpeg"/><Relationship Id="rId15" Type="http://schemas.openxmlformats.org/officeDocument/2006/relationships/hyperlink" Target="https://fiscalpolicy.org/new-report-reveals-how-ny-economic-development-funds-shortchange-communities-of-color" TargetMode="External"/><Relationship Id="rId23" Type="http://schemas.openxmlformats.org/officeDocument/2006/relationships/hyperlink" Target="https://public.tableau.com/s/" TargetMode="External"/><Relationship Id="rId28" Type="http://schemas.openxmlformats.org/officeDocument/2006/relationships/hyperlink" Target="https://wagner.nyu.edu/portal/students/policies/code" TargetMode="External"/><Relationship Id="rId10" Type="http://schemas.openxmlformats.org/officeDocument/2006/relationships/hyperlink" Target="https://www.mckinsey.com/business-functions/mckinsey-analytics/our-insights/achieving-business-impact-with-data" TargetMode="External"/><Relationship Id="rId19" Type="http://schemas.openxmlformats.org/officeDocument/2006/relationships/hyperlink" Target="http://www.diversitydatakids.org/research-library/data-visualization/child-opportunity-gap" TargetMode="External"/><Relationship Id="rId31"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hyperlink" Target="https://drive.google.com/file/d/1WmB_xaIoAukjDqOEcuGR0Vq9aMydEYc8/view?usp=share_link" TargetMode="External"/><Relationship Id="rId14" Type="http://schemas.openxmlformats.org/officeDocument/2006/relationships/hyperlink" Target="https://www.nytimes.com/2018/08/01/nyregion/economic-development-funding-report.html" TargetMode="External"/><Relationship Id="rId22" Type="http://schemas.openxmlformats.org/officeDocument/2006/relationships/hyperlink" Target="https://public.tableau.com/en-us/gallery/?tab=viz-of-the-day&amp;type=viz-of-the-day" TargetMode="External"/><Relationship Id="rId27" Type="http://schemas.openxmlformats.org/officeDocument/2006/relationships/hyperlink" Target="https://www.nytimes.com/section/upshot" TargetMode="External"/><Relationship Id="rId30" Type="http://schemas.openxmlformats.org/officeDocument/2006/relationships/hyperlink" Target="https://www.nyu.edu/students/communities-and-groups/students-with-disabilities.html" TargetMode="External"/><Relationship Id="rId35" Type="http://schemas.openxmlformats.org/officeDocument/2006/relationships/theme" Target="theme/theme1.xml"/><Relationship Id="rId8" Type="http://schemas.openxmlformats.org/officeDocument/2006/relationships/hyperlink" Target="https://www2.deloitte.com/us/en/insights/industry/public-sector/homelessness-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2352</Words>
  <Characters>13410</Characters>
  <Application>Microsoft Office Word</Application>
  <DocSecurity>0</DocSecurity>
  <Lines>111</Lines>
  <Paragraphs>31</Paragraphs>
  <ScaleCrop>false</ScaleCrop>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1</cp:revision>
  <dcterms:created xsi:type="dcterms:W3CDTF">2022-11-15T07:02:00Z</dcterms:created>
  <dcterms:modified xsi:type="dcterms:W3CDTF">2022-11-15T07:03:00Z</dcterms:modified>
</cp:coreProperties>
</file>