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F5" w:rsidRPr="00405717" w:rsidRDefault="00322624" w:rsidP="00AB4299">
      <w:pPr>
        <w:pStyle w:val="Heading2"/>
      </w:pPr>
      <w:bookmarkStart w:id="0" w:name="_gjdgxs" w:colFirst="0" w:colLast="0"/>
      <w:bookmarkEnd w:id="0"/>
      <w:r w:rsidRPr="00405717">
        <w:rPr>
          <w:noProof/>
          <w:lang w:val="en-US"/>
        </w:rPr>
        <w:drawing>
          <wp:inline distT="114300" distB="114300" distL="114300" distR="114300">
            <wp:extent cx="5943600" cy="673100"/>
            <wp:effectExtent l="0" t="0" r="0" b="0"/>
            <wp:docPr id="1" name="image1.jpg" descr="NYU Wagner logo&#10;"/>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673100"/>
                    </a:xfrm>
                    <a:prstGeom prst="rect">
                      <a:avLst/>
                    </a:prstGeom>
                    <a:ln/>
                  </pic:spPr>
                </pic:pic>
              </a:graphicData>
            </a:graphic>
          </wp:inline>
        </w:drawing>
      </w:r>
    </w:p>
    <w:p w:rsidR="00AD02F5" w:rsidRPr="00405717" w:rsidRDefault="00AB4299" w:rsidP="00AB4299">
      <w:pPr>
        <w:pStyle w:val="Heading1"/>
        <w:keepNext w:val="0"/>
        <w:keepLines w:val="0"/>
        <w:tabs>
          <w:tab w:val="right" w:pos="0"/>
          <w:tab w:val="left" w:pos="7550"/>
        </w:tabs>
        <w:spacing w:before="120"/>
        <w:ind w:left="90" w:hanging="90"/>
        <w:rPr>
          <w:b/>
          <w:sz w:val="46"/>
          <w:szCs w:val="46"/>
        </w:rPr>
      </w:pPr>
      <w:r w:rsidRPr="00405717">
        <w:rPr>
          <w:b/>
          <w:sz w:val="46"/>
          <w:szCs w:val="46"/>
        </w:rPr>
        <w:tab/>
      </w:r>
    </w:p>
    <w:p w:rsidR="00AB4299" w:rsidRPr="00405717" w:rsidRDefault="00AB4299" w:rsidP="00AB4299">
      <w:pPr>
        <w:jc w:val="center"/>
        <w:rPr>
          <w:b/>
          <w:color w:val="1F497D" w:themeColor="text2"/>
          <w:sz w:val="44"/>
          <w:szCs w:val="44"/>
        </w:rPr>
      </w:pPr>
      <w:r w:rsidRPr="00405717">
        <w:rPr>
          <w:b/>
          <w:color w:val="1F497D" w:themeColor="text2"/>
          <w:sz w:val="44"/>
          <w:szCs w:val="44"/>
        </w:rPr>
        <w:t>HPAM-GP 4831-001</w:t>
      </w:r>
    </w:p>
    <w:p w:rsidR="00AB4299" w:rsidRPr="00405717" w:rsidRDefault="00AB4299">
      <w:pPr>
        <w:pStyle w:val="Heading1"/>
        <w:keepNext w:val="0"/>
        <w:keepLines w:val="0"/>
        <w:tabs>
          <w:tab w:val="right" w:pos="0"/>
          <w:tab w:val="left" w:pos="7200"/>
        </w:tabs>
        <w:spacing w:before="120"/>
        <w:ind w:left="90" w:hanging="90"/>
        <w:jc w:val="center"/>
        <w:rPr>
          <w:b/>
          <w:sz w:val="46"/>
          <w:szCs w:val="46"/>
          <w:shd w:val="clear" w:color="auto" w:fill="F8F8F8"/>
        </w:rPr>
      </w:pPr>
      <w:r w:rsidRPr="00405717">
        <w:rPr>
          <w:b/>
          <w:sz w:val="46"/>
          <w:szCs w:val="46"/>
          <w:shd w:val="clear" w:color="auto" w:fill="F8F8F8"/>
        </w:rPr>
        <w:t>Topics in Domestic Health Policy</w:t>
      </w:r>
    </w:p>
    <w:p w:rsidR="00AD02F5" w:rsidRPr="00405717" w:rsidRDefault="00AB4299">
      <w:pPr>
        <w:pStyle w:val="Heading1"/>
        <w:keepNext w:val="0"/>
        <w:keepLines w:val="0"/>
        <w:tabs>
          <w:tab w:val="right" w:pos="0"/>
          <w:tab w:val="left" w:pos="7200"/>
        </w:tabs>
        <w:spacing w:before="120"/>
        <w:ind w:left="90" w:hanging="90"/>
        <w:jc w:val="center"/>
        <w:rPr>
          <w:b/>
          <w:sz w:val="46"/>
          <w:szCs w:val="46"/>
        </w:rPr>
      </w:pPr>
      <w:r w:rsidRPr="00405717">
        <w:rPr>
          <w:b/>
          <w:sz w:val="46"/>
          <w:szCs w:val="46"/>
        </w:rPr>
        <w:t>Spring</w:t>
      </w:r>
      <w:r w:rsidR="00322624" w:rsidRPr="00405717">
        <w:rPr>
          <w:b/>
          <w:sz w:val="46"/>
          <w:szCs w:val="46"/>
        </w:rPr>
        <w:t xml:space="preserve"> 202</w:t>
      </w:r>
      <w:r w:rsidR="0067484F" w:rsidRPr="00405717">
        <w:rPr>
          <w:b/>
          <w:sz w:val="46"/>
          <w:szCs w:val="46"/>
        </w:rPr>
        <w:t>2</w:t>
      </w:r>
    </w:p>
    <w:p w:rsidR="00AD02F5" w:rsidRPr="00405717" w:rsidRDefault="00322624">
      <w:pPr>
        <w:pStyle w:val="Heading2"/>
        <w:keepNext w:val="0"/>
        <w:keepLines w:val="0"/>
        <w:spacing w:after="80"/>
      </w:pPr>
      <w:bookmarkStart w:id="1" w:name="_30j0zll" w:colFirst="0" w:colLast="0"/>
      <w:bookmarkEnd w:id="1"/>
      <w:r w:rsidRPr="00405717">
        <w:rPr>
          <w:b/>
        </w:rPr>
        <w:t>Instructor Information</w:t>
      </w:r>
    </w:p>
    <w:p w:rsidR="00AD02F5" w:rsidRPr="00405717" w:rsidRDefault="00322624">
      <w:pPr>
        <w:numPr>
          <w:ilvl w:val="0"/>
          <w:numId w:val="2"/>
        </w:numPr>
        <w:spacing w:line="240" w:lineRule="auto"/>
      </w:pPr>
      <w:r w:rsidRPr="00405717">
        <w:t>Sherry Glied</w:t>
      </w:r>
    </w:p>
    <w:p w:rsidR="00AD02F5" w:rsidRPr="00405717" w:rsidRDefault="00322624">
      <w:pPr>
        <w:numPr>
          <w:ilvl w:val="0"/>
          <w:numId w:val="2"/>
        </w:numPr>
      </w:pPr>
      <w:r w:rsidRPr="00405717">
        <w:t xml:space="preserve">Email:  </w:t>
      </w:r>
      <w:hyperlink r:id="rId8">
        <w:r w:rsidRPr="00405717">
          <w:rPr>
            <w:color w:val="0000FF"/>
            <w:u w:val="single"/>
          </w:rPr>
          <w:t>sg162@nyu.edu</w:t>
        </w:r>
      </w:hyperlink>
      <w:r w:rsidRPr="00405717">
        <w:t xml:space="preserve"> </w:t>
      </w:r>
    </w:p>
    <w:p w:rsidR="00AD02F5" w:rsidRPr="00405717" w:rsidRDefault="00322624">
      <w:pPr>
        <w:numPr>
          <w:ilvl w:val="0"/>
          <w:numId w:val="2"/>
        </w:numPr>
      </w:pPr>
      <w:bookmarkStart w:id="2" w:name="_1fob9te" w:colFirst="0" w:colLast="0"/>
      <w:bookmarkEnd w:id="2"/>
      <w:r w:rsidRPr="00405717">
        <w:t xml:space="preserve">Office Hours: </w:t>
      </w:r>
      <w:hyperlink r:id="rId9" w:history="1">
        <w:r w:rsidRPr="00405717">
          <w:rPr>
            <w:rStyle w:val="Hyperlink"/>
          </w:rPr>
          <w:t>By appointment.</w:t>
        </w:r>
      </w:hyperlink>
    </w:p>
    <w:p w:rsidR="00AD02F5" w:rsidRPr="00405717" w:rsidRDefault="00322624">
      <w:pPr>
        <w:pStyle w:val="Heading2"/>
        <w:rPr>
          <w:b/>
        </w:rPr>
      </w:pPr>
      <w:bookmarkStart w:id="3" w:name="_3znysh7" w:colFirst="0" w:colLast="0"/>
      <w:bookmarkEnd w:id="3"/>
      <w:r w:rsidRPr="00405717">
        <w:rPr>
          <w:b/>
        </w:rPr>
        <w:t>Course Information</w:t>
      </w:r>
    </w:p>
    <w:p w:rsidR="00AB4299" w:rsidRPr="00405717" w:rsidRDefault="00322624" w:rsidP="00AB4299">
      <w:pPr>
        <w:numPr>
          <w:ilvl w:val="0"/>
          <w:numId w:val="1"/>
        </w:numPr>
      </w:pPr>
      <w:r w:rsidRPr="00405717">
        <w:t>Class Meeting Times:</w:t>
      </w:r>
      <w:r w:rsidR="00AB4299" w:rsidRPr="00405717">
        <w:t xml:space="preserve">  Monday </w:t>
      </w:r>
      <w:r w:rsidR="0067484F" w:rsidRPr="00405717">
        <w:t>4:55</w:t>
      </w:r>
      <w:r w:rsidR="00AB4299" w:rsidRPr="00405717">
        <w:t xml:space="preserve"> – 6:</w:t>
      </w:r>
      <w:r w:rsidR="0067484F" w:rsidRPr="00405717">
        <w:t>35</w:t>
      </w:r>
      <w:r w:rsidR="00AB4299" w:rsidRPr="00405717">
        <w:t xml:space="preserve"> pm</w:t>
      </w:r>
      <w:r w:rsidRPr="00405717">
        <w:t xml:space="preserve"> </w:t>
      </w:r>
    </w:p>
    <w:p w:rsidR="00AD02F5" w:rsidRPr="00405717" w:rsidRDefault="00322624" w:rsidP="008473C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sidRPr="00405717">
        <w:t xml:space="preserve">Class Location: </w:t>
      </w:r>
      <w:r w:rsidR="00F2325D" w:rsidRPr="00405717">
        <w:t>194 Mercer Street, Room 208</w:t>
      </w:r>
      <w:bookmarkStart w:id="4" w:name="_GoBack"/>
      <w:bookmarkEnd w:id="4"/>
    </w:p>
    <w:p w:rsidR="00AD02F5" w:rsidRPr="00405717" w:rsidRDefault="00322624">
      <w:pPr>
        <w:pStyle w:val="Heading2"/>
        <w:keepNext w:val="0"/>
        <w:keepLines w:val="0"/>
        <w:spacing w:after="80"/>
        <w:rPr>
          <w:b/>
        </w:rPr>
      </w:pPr>
      <w:bookmarkStart w:id="5" w:name="_2et92p0" w:colFirst="0" w:colLast="0"/>
      <w:bookmarkEnd w:id="5"/>
      <w:r w:rsidRPr="00405717">
        <w:rPr>
          <w:b/>
        </w:rPr>
        <w:t>Course Description</w:t>
      </w:r>
    </w:p>
    <w:p w:rsidR="00AD02F5" w:rsidRPr="00405717" w:rsidRDefault="00322624">
      <w:pPr>
        <w:pStyle w:val="Heading2"/>
        <w:keepNext w:val="0"/>
        <w:keepLines w:val="0"/>
        <w:spacing w:after="80"/>
        <w:rPr>
          <w:color w:val="000000"/>
          <w:sz w:val="22"/>
          <w:szCs w:val="22"/>
        </w:rPr>
      </w:pPr>
      <w:r w:rsidRPr="00405717">
        <w:rPr>
          <w:color w:val="000000"/>
          <w:sz w:val="22"/>
          <w:szCs w:val="22"/>
        </w:rPr>
        <w:t xml:space="preserve">This course </w:t>
      </w:r>
      <w:r w:rsidR="00AB4299" w:rsidRPr="00405717">
        <w:rPr>
          <w:color w:val="000000"/>
          <w:sz w:val="22"/>
          <w:szCs w:val="22"/>
        </w:rPr>
        <w:t xml:space="preserve">will further extend students’ understanding of how microeconomics can help to </w:t>
      </w:r>
      <w:r w:rsidRPr="00405717">
        <w:rPr>
          <w:color w:val="000000"/>
          <w:sz w:val="22"/>
          <w:szCs w:val="22"/>
        </w:rPr>
        <w:t xml:space="preserve">understand health and health care issues. </w:t>
      </w:r>
    </w:p>
    <w:p w:rsidR="00AD02F5" w:rsidRPr="00405717" w:rsidRDefault="00322624">
      <w:pPr>
        <w:pStyle w:val="Heading2"/>
        <w:keepNext w:val="0"/>
        <w:keepLines w:val="0"/>
        <w:spacing w:after="80"/>
        <w:rPr>
          <w:b/>
        </w:rPr>
      </w:pPr>
      <w:r w:rsidRPr="00405717">
        <w:rPr>
          <w:b/>
        </w:rPr>
        <w:t>Course and Learning Objectives</w:t>
      </w:r>
    </w:p>
    <w:p w:rsidR="00AB4299" w:rsidRPr="00405717" w:rsidRDefault="00AB4299" w:rsidP="00AB4299">
      <w:pPr>
        <w:rPr>
          <w:sz w:val="24"/>
          <w:lang w:val="en-GB"/>
        </w:rPr>
      </w:pPr>
      <w:r w:rsidRPr="00405717">
        <w:rPr>
          <w:sz w:val="24"/>
          <w:lang w:val="en-GB"/>
        </w:rPr>
        <w:t>This course will address the following CAHME competencies:</w:t>
      </w:r>
    </w:p>
    <w:p w:rsidR="00AB4299" w:rsidRPr="00405717" w:rsidRDefault="00AB4299" w:rsidP="00AB4299">
      <w:pPr>
        <w:numPr>
          <w:ilvl w:val="0"/>
          <w:numId w:val="5"/>
        </w:numPr>
        <w:shd w:val="clear" w:color="auto" w:fill="FFFFFF"/>
        <w:spacing w:before="100" w:beforeAutospacing="1" w:after="100" w:afterAutospacing="1" w:line="240" w:lineRule="auto"/>
        <w:ind w:left="945"/>
        <w:rPr>
          <w:rFonts w:eastAsia="Times New Roman"/>
          <w:sz w:val="24"/>
        </w:rPr>
      </w:pPr>
      <w:r w:rsidRPr="00405717">
        <w:rPr>
          <w:rFonts w:eastAsia="Times New Roman"/>
          <w:sz w:val="24"/>
        </w:rPr>
        <w:t>The ability to understand how policy and delivery processes work, and to consider the demographic, cultural, political and regulatory factors involved in and influencing health policy and management decision-making.</w:t>
      </w:r>
    </w:p>
    <w:p w:rsidR="00AB4299" w:rsidRPr="00405717" w:rsidRDefault="00AB4299" w:rsidP="00AB4299">
      <w:pPr>
        <w:shd w:val="clear" w:color="auto" w:fill="FFFFFF"/>
        <w:spacing w:before="100" w:beforeAutospacing="1" w:after="100" w:afterAutospacing="1"/>
        <w:ind w:left="945"/>
        <w:rPr>
          <w:rFonts w:eastAsia="Times New Roman"/>
          <w:sz w:val="24"/>
        </w:rPr>
      </w:pPr>
      <w:r w:rsidRPr="00405717">
        <w:rPr>
          <w:rFonts w:eastAsia="Times New Roman"/>
          <w:sz w:val="24"/>
        </w:rPr>
        <w:t>[This competency will be assessed through Assignment 3, which focuses on changing technological costs.]</w:t>
      </w:r>
    </w:p>
    <w:p w:rsidR="00AB4299" w:rsidRPr="00405717" w:rsidRDefault="00AB4299" w:rsidP="00AB4299">
      <w:pPr>
        <w:numPr>
          <w:ilvl w:val="0"/>
          <w:numId w:val="5"/>
        </w:numPr>
        <w:shd w:val="clear" w:color="auto" w:fill="FFFFFF"/>
        <w:spacing w:before="100" w:beforeAutospacing="1" w:after="100" w:afterAutospacing="1" w:line="240" w:lineRule="auto"/>
        <w:ind w:left="945"/>
        <w:rPr>
          <w:rFonts w:eastAsia="Times New Roman"/>
          <w:sz w:val="24"/>
        </w:rPr>
      </w:pPr>
      <w:r w:rsidRPr="00405717">
        <w:rPr>
          <w:rFonts w:eastAsia="Times New Roman"/>
          <w:sz w:val="24"/>
        </w:rPr>
        <w:lastRenderedPageBreak/>
        <w:t>The ability to synthesize evidence, and apply statistical financial, economic and cost-effectiveness tools/techniques in organizational analysis.</w:t>
      </w:r>
    </w:p>
    <w:p w:rsidR="00AB4299" w:rsidRPr="00405717" w:rsidRDefault="00AB4299" w:rsidP="00AB4299">
      <w:pPr>
        <w:shd w:val="clear" w:color="auto" w:fill="FFFFFF"/>
        <w:spacing w:before="100" w:beforeAutospacing="1" w:after="100" w:afterAutospacing="1"/>
        <w:ind w:left="585"/>
        <w:rPr>
          <w:rFonts w:eastAsia="Times New Roman"/>
          <w:sz w:val="24"/>
        </w:rPr>
      </w:pPr>
      <w:r w:rsidRPr="00405717">
        <w:rPr>
          <w:rFonts w:eastAsia="Times New Roman"/>
          <w:sz w:val="24"/>
        </w:rPr>
        <w:t>[This competency will be assessed through Assignments 1, 2, and 3, which require students to apply statistical and economic techniques.]</w:t>
      </w:r>
    </w:p>
    <w:p w:rsidR="00AB4299" w:rsidRPr="00405717" w:rsidRDefault="00AB4299" w:rsidP="00AB4299">
      <w:pPr>
        <w:numPr>
          <w:ilvl w:val="0"/>
          <w:numId w:val="5"/>
        </w:numPr>
        <w:shd w:val="clear" w:color="auto" w:fill="FFFFFF"/>
        <w:spacing w:before="100" w:beforeAutospacing="1" w:after="100" w:afterAutospacing="1" w:line="240" w:lineRule="auto"/>
        <w:ind w:left="945"/>
        <w:rPr>
          <w:rFonts w:eastAsia="Times New Roman"/>
          <w:sz w:val="24"/>
        </w:rPr>
      </w:pPr>
      <w:r w:rsidRPr="00405717">
        <w:rPr>
          <w:rFonts w:eastAsia="Times New Roman"/>
          <w:sz w:val="24"/>
        </w:rPr>
        <w:t>The ability to present convincingly to individuals and groups the evidence to support a point of view, position or recommendation.</w:t>
      </w:r>
    </w:p>
    <w:p w:rsidR="00AB4299" w:rsidRPr="00405717" w:rsidRDefault="00AB4299" w:rsidP="00AB4299">
      <w:pPr>
        <w:shd w:val="clear" w:color="auto" w:fill="FFFFFF"/>
        <w:spacing w:before="100" w:beforeAutospacing="1" w:after="100" w:afterAutospacing="1"/>
        <w:ind w:left="585"/>
        <w:rPr>
          <w:rFonts w:eastAsia="Times New Roman"/>
          <w:sz w:val="24"/>
        </w:rPr>
      </w:pPr>
      <w:r w:rsidRPr="00405717">
        <w:rPr>
          <w:rFonts w:eastAsia="Times New Roman"/>
          <w:sz w:val="24"/>
        </w:rPr>
        <w:t xml:space="preserve">[This competency will be assessed through Assignments 1, 2, and 3, in which students will be required to support a policy or management position.] </w:t>
      </w:r>
    </w:p>
    <w:p w:rsidR="00AB4299" w:rsidRPr="00405717" w:rsidRDefault="00AB4299" w:rsidP="00AB4299">
      <w:pPr>
        <w:numPr>
          <w:ilvl w:val="0"/>
          <w:numId w:val="5"/>
        </w:numPr>
        <w:shd w:val="clear" w:color="auto" w:fill="FFFFFF"/>
        <w:spacing w:before="100" w:beforeAutospacing="1" w:after="100" w:afterAutospacing="1" w:line="240" w:lineRule="auto"/>
        <w:ind w:left="945"/>
        <w:rPr>
          <w:rFonts w:eastAsia="Times New Roman"/>
          <w:sz w:val="24"/>
        </w:rPr>
      </w:pPr>
      <w:r w:rsidRPr="00405717">
        <w:rPr>
          <w:rFonts w:eastAsia="Times New Roman"/>
          <w:sz w:val="24"/>
        </w:rPr>
        <w:t>The ability to communicate and interact productively (via listening, speaking and writing) on matters of healthcare with a diverse and changing industry, work force and citizenry.</w:t>
      </w:r>
    </w:p>
    <w:p w:rsidR="00AB4299" w:rsidRPr="00405717" w:rsidRDefault="00AB4299" w:rsidP="00AB4299">
      <w:pPr>
        <w:shd w:val="clear" w:color="auto" w:fill="FFFFFF"/>
        <w:spacing w:before="100" w:beforeAutospacing="1" w:after="100" w:afterAutospacing="1"/>
        <w:ind w:left="585"/>
        <w:rPr>
          <w:rFonts w:eastAsia="Times New Roman"/>
          <w:sz w:val="24"/>
        </w:rPr>
      </w:pPr>
      <w:r w:rsidRPr="00405717">
        <w:rPr>
          <w:rFonts w:eastAsia="Times New Roman"/>
          <w:sz w:val="24"/>
        </w:rPr>
        <w:t xml:space="preserve">[This competency will be assessed through Assignments 1, 2, and 3, in which students will be required to write policy and management memos.] </w:t>
      </w:r>
    </w:p>
    <w:p w:rsidR="00AB4299" w:rsidRPr="00405717" w:rsidRDefault="00AB4299" w:rsidP="00AB4299">
      <w:pPr>
        <w:rPr>
          <w:sz w:val="24"/>
          <w:shd w:val="clear" w:color="auto" w:fill="FFFFFF"/>
        </w:rPr>
      </w:pPr>
      <w:r w:rsidRPr="00405717">
        <w:rPr>
          <w:sz w:val="24"/>
          <w:shd w:val="clear" w:color="auto" w:fill="FFFFFF"/>
        </w:rPr>
        <w:t>Assignments, exams, and class participation in the course will assess progress against these competencies, and no student will receive a B or higher without demonstration of satisfactory progress towards mastery of each competency.</w:t>
      </w:r>
    </w:p>
    <w:p w:rsidR="00AD02F5" w:rsidRPr="00405717" w:rsidRDefault="00AD02F5"/>
    <w:p w:rsidR="00AD02F5" w:rsidRPr="00405717" w:rsidRDefault="00322624">
      <w:pPr>
        <w:pStyle w:val="Heading3"/>
        <w:rPr>
          <w:color w:val="000000"/>
        </w:rPr>
      </w:pPr>
      <w:bookmarkStart w:id="6" w:name="_tyjcwt" w:colFirst="0" w:colLast="0"/>
      <w:bookmarkEnd w:id="6"/>
      <w:r w:rsidRPr="00405717">
        <w:rPr>
          <w:b/>
          <w:color w:val="000000"/>
        </w:rPr>
        <w:t>Learning Assessment Table</w:t>
      </w:r>
    </w:p>
    <w:p w:rsidR="00AD02F5" w:rsidRPr="00405717" w:rsidRDefault="00AD02F5">
      <w:pPr>
        <w:spacing w:line="240" w:lineRule="auto"/>
        <w:rPr>
          <w:rFonts w:eastAsia="Times New Roman"/>
          <w:sz w:val="24"/>
          <w:szCs w:val="24"/>
        </w:rPr>
      </w:pPr>
    </w:p>
    <w:p w:rsidR="00AD02F5" w:rsidRPr="00405717" w:rsidRDefault="00322624">
      <w:pPr>
        <w:spacing w:after="120" w:line="273" w:lineRule="auto"/>
        <w:rPr>
          <w:rFonts w:eastAsia="Calibri"/>
        </w:rPr>
      </w:pPr>
      <w:r w:rsidRPr="00405717">
        <w:t>Assignments, exams, and discussion board participation in the course will assess progress against these competencies, and no student will receive a B or higher without demonstration of satisfactory progress towards mastery of each competency. Expected levels of competency are denoted below:</w:t>
      </w:r>
    </w:p>
    <w:p w:rsidR="00AD02F5" w:rsidRPr="00405717" w:rsidRDefault="00322624">
      <w:pPr>
        <w:pStyle w:val="Heading3"/>
        <w:ind w:left="720"/>
      </w:pPr>
      <w:bookmarkStart w:id="7" w:name="_3dy6vkm" w:colFirst="0" w:colLast="0"/>
      <w:bookmarkEnd w:id="7"/>
      <w:r w:rsidRPr="00405717">
        <w:t>Level of Competency</w:t>
      </w:r>
    </w:p>
    <w:p w:rsidR="00AD02F5" w:rsidRPr="00405717" w:rsidRDefault="00322624">
      <w:pPr>
        <w:ind w:left="720"/>
      </w:pPr>
      <w:r w:rsidRPr="00405717">
        <w:t>In addition, the level of competency expected to be achieved should be denoted, according to the following key:</w:t>
      </w:r>
    </w:p>
    <w:p w:rsidR="00AD02F5" w:rsidRPr="00405717" w:rsidRDefault="00322624">
      <w:pPr>
        <w:ind w:left="720"/>
      </w:pPr>
      <w:r w:rsidRPr="00405717">
        <w:t xml:space="preserve">[1] = </w:t>
      </w:r>
      <w:r w:rsidRPr="00405717">
        <w:rPr>
          <w:u w:val="single"/>
        </w:rPr>
        <w:t>Basic</w:t>
      </w:r>
      <w:r w:rsidRPr="00405717">
        <w:t>:  Foundational understanding of knowledge/skill/competency</w:t>
      </w:r>
    </w:p>
    <w:p w:rsidR="00AD02F5" w:rsidRPr="00405717" w:rsidRDefault="00322624">
      <w:pPr>
        <w:spacing w:before="60"/>
        <w:ind w:left="720"/>
      </w:pPr>
      <w:r w:rsidRPr="00405717">
        <w:t xml:space="preserve">[2] = </w:t>
      </w:r>
      <w:r w:rsidRPr="00405717">
        <w:rPr>
          <w:u w:val="single"/>
        </w:rPr>
        <w:t>Intermediate</w:t>
      </w:r>
      <w:r w:rsidRPr="00405717">
        <w:t>:  Student demonstrates greater depth of understanding of this</w:t>
      </w:r>
    </w:p>
    <w:p w:rsidR="00AD02F5" w:rsidRPr="00405717" w:rsidRDefault="00322624">
      <w:pPr>
        <w:ind w:left="720"/>
      </w:pPr>
      <w:r w:rsidRPr="00405717">
        <w:t>knowledge/skill/competency and can use this ability to analyze a problem</w:t>
      </w:r>
    </w:p>
    <w:p w:rsidR="00AD02F5" w:rsidRPr="00405717" w:rsidRDefault="00322624">
      <w:pPr>
        <w:spacing w:before="60"/>
        <w:ind w:left="720"/>
      </w:pPr>
      <w:r w:rsidRPr="00405717">
        <w:t xml:space="preserve">[3] = </w:t>
      </w:r>
      <w:r w:rsidRPr="00405717">
        <w:rPr>
          <w:u w:val="single"/>
        </w:rPr>
        <w:t>Advanced</w:t>
      </w:r>
      <w:r w:rsidRPr="00405717">
        <w:t>:  Student demonstrates expertise in this knowledge/skill/competency</w:t>
      </w:r>
    </w:p>
    <w:p w:rsidR="00AD02F5" w:rsidRPr="00405717" w:rsidRDefault="00322624">
      <w:pPr>
        <w:ind w:left="720"/>
      </w:pPr>
      <w:r w:rsidRPr="00405717">
        <w:t>and can use this ability to evaluate, judge, and synthesize information</w:t>
      </w:r>
    </w:p>
    <w:p w:rsidR="00AD02F5" w:rsidRPr="00405717" w:rsidRDefault="00322624">
      <w:pPr>
        <w:pStyle w:val="Heading3"/>
        <w:spacing w:line="288" w:lineRule="auto"/>
        <w:jc w:val="center"/>
      </w:pPr>
      <w:bookmarkStart w:id="8" w:name="_1t3h5sf" w:colFirst="0" w:colLast="0"/>
      <w:bookmarkEnd w:id="8"/>
      <w:r w:rsidRPr="00405717">
        <w:lastRenderedPageBreak/>
        <w:t>Learning Assessment Table</w:t>
      </w:r>
    </w:p>
    <w:p w:rsidR="00AB4299" w:rsidRPr="00405717" w:rsidRDefault="00AB4299" w:rsidP="00AB4299"/>
    <w:tbl>
      <w:tblPr>
        <w:tblStyle w:val="a"/>
        <w:tblW w:w="0" w:type="auto"/>
        <w:tblInd w:w="5" w:type="dxa"/>
        <w:tblLook w:val="04A0" w:firstRow="1" w:lastRow="0" w:firstColumn="1" w:lastColumn="0" w:noHBand="0" w:noVBand="1"/>
        <w:tblDescription w:val="Learning Assessment Table "/>
      </w:tblPr>
      <w:tblGrid>
        <w:gridCol w:w="2786"/>
        <w:gridCol w:w="2548"/>
        <w:gridCol w:w="2019"/>
        <w:gridCol w:w="2002"/>
      </w:tblGrid>
      <w:tr w:rsidR="00AB4299" w:rsidRPr="00405717" w:rsidTr="00AB4299">
        <w:trPr>
          <w:trHeight w:val="1518"/>
        </w:trPr>
        <w:tc>
          <w:tcPr>
            <w:tcW w:w="0" w:type="auto"/>
            <w:hideMark/>
          </w:tcPr>
          <w:p w:rsidR="00AB4299" w:rsidRPr="00405717" w:rsidRDefault="00AB4299" w:rsidP="00AB53E9">
            <w:pPr>
              <w:rPr>
                <w:rFonts w:eastAsia="Times New Roman"/>
              </w:rPr>
            </w:pPr>
            <w:r w:rsidRPr="00405717">
              <w:rPr>
                <w:rFonts w:eastAsia="Times New Roman"/>
                <w:b/>
                <w:bCs/>
                <w:shd w:val="clear" w:color="auto" w:fill="FFFFFF"/>
              </w:rPr>
              <w:t xml:space="preserve">Program Competency </w:t>
            </w:r>
          </w:p>
        </w:tc>
        <w:tc>
          <w:tcPr>
            <w:tcW w:w="0" w:type="auto"/>
            <w:hideMark/>
          </w:tcPr>
          <w:p w:rsidR="00AB4299" w:rsidRPr="00405717" w:rsidRDefault="00AB4299" w:rsidP="00AB53E9">
            <w:pPr>
              <w:rPr>
                <w:rFonts w:eastAsia="Times New Roman"/>
              </w:rPr>
            </w:pPr>
            <w:r w:rsidRPr="00405717">
              <w:rPr>
                <w:rFonts w:eastAsia="Times New Roman"/>
                <w:b/>
                <w:bCs/>
                <w:shd w:val="clear" w:color="auto" w:fill="FFFFFF"/>
              </w:rPr>
              <w:t>Corresponding Course Learning Objective</w:t>
            </w:r>
          </w:p>
        </w:tc>
        <w:tc>
          <w:tcPr>
            <w:tcW w:w="0" w:type="auto"/>
            <w:hideMark/>
          </w:tcPr>
          <w:p w:rsidR="00AB4299" w:rsidRPr="00405717" w:rsidRDefault="00AB4299" w:rsidP="00AB53E9">
            <w:pPr>
              <w:rPr>
                <w:rFonts w:eastAsia="Times New Roman"/>
              </w:rPr>
            </w:pPr>
            <w:r w:rsidRPr="00405717">
              <w:rPr>
                <w:rFonts w:eastAsia="Times New Roman"/>
                <w:b/>
                <w:bCs/>
                <w:shd w:val="clear" w:color="auto" w:fill="FFFFFF"/>
              </w:rPr>
              <w:t>Corresponding Assignment Title (Memo, Team Paper, Exam, etc.)</w:t>
            </w:r>
          </w:p>
        </w:tc>
        <w:tc>
          <w:tcPr>
            <w:tcW w:w="0" w:type="auto"/>
            <w:hideMark/>
          </w:tcPr>
          <w:p w:rsidR="00AB4299" w:rsidRPr="00405717" w:rsidRDefault="00AB4299" w:rsidP="00AB53E9">
            <w:pPr>
              <w:rPr>
                <w:rFonts w:eastAsia="Times New Roman"/>
              </w:rPr>
            </w:pPr>
            <w:r w:rsidRPr="00405717">
              <w:rPr>
                <w:rFonts w:eastAsia="Times New Roman"/>
                <w:b/>
                <w:bCs/>
                <w:shd w:val="clear" w:color="auto" w:fill="FFFFFF"/>
              </w:rPr>
              <w:t xml:space="preserve">Denote Level of Competency Expected to Achieve via the Assignment (basic = 1, intermediate = 2, advanced = 3) </w:t>
            </w:r>
            <w:r w:rsidRPr="00405717">
              <w:rPr>
                <w:rFonts w:eastAsia="Times New Roman"/>
              </w:rPr>
              <w:t xml:space="preserve"> </w:t>
            </w:r>
          </w:p>
        </w:tc>
      </w:tr>
      <w:tr w:rsidR="00AB4299" w:rsidRPr="00405717" w:rsidTr="00AB4299">
        <w:trPr>
          <w:trHeight w:val="1518"/>
        </w:trPr>
        <w:tc>
          <w:tcPr>
            <w:tcW w:w="0" w:type="auto"/>
          </w:tcPr>
          <w:p w:rsidR="00AB4299" w:rsidRPr="00405717" w:rsidRDefault="00AB4299" w:rsidP="00AB53E9">
            <w:pPr>
              <w:rPr>
                <w:rFonts w:eastAsia="Times New Roman"/>
              </w:rPr>
            </w:pPr>
            <w:r w:rsidRPr="00405717">
              <w:t>The ability to understand how policy and delivery processes work, and to consider the demographic, cultural, political and regulatory factors involved in and influencing health policy and management decision-making.</w:t>
            </w:r>
          </w:p>
        </w:tc>
        <w:tc>
          <w:tcPr>
            <w:tcW w:w="0" w:type="auto"/>
          </w:tcPr>
          <w:p w:rsidR="00AB4299" w:rsidRPr="00405717" w:rsidRDefault="00AB4299" w:rsidP="00AB53E9">
            <w:pPr>
              <w:rPr>
                <w:rFonts w:eastAsia="Times New Roman"/>
              </w:rPr>
            </w:pPr>
            <w:r w:rsidRPr="00405717">
              <w:rPr>
                <w:rFonts w:eastAsia="Times New Roman"/>
              </w:rPr>
              <w:t>Be able to apply economic theories to understanding the organization of the health care system, health behaviors, and the impact of policy.</w:t>
            </w:r>
          </w:p>
        </w:tc>
        <w:tc>
          <w:tcPr>
            <w:tcW w:w="0" w:type="auto"/>
          </w:tcPr>
          <w:p w:rsidR="00AB4299" w:rsidRPr="00405717" w:rsidRDefault="00AB4299" w:rsidP="00AB53E9">
            <w:pPr>
              <w:rPr>
                <w:rFonts w:eastAsia="Times New Roman"/>
              </w:rPr>
            </w:pPr>
            <w:r w:rsidRPr="00405717">
              <w:rPr>
                <w:rFonts w:eastAsia="Times New Roman"/>
              </w:rPr>
              <w:t xml:space="preserve">Assignment #1, #2, #3 </w:t>
            </w:r>
          </w:p>
        </w:tc>
        <w:tc>
          <w:tcPr>
            <w:tcW w:w="0" w:type="auto"/>
          </w:tcPr>
          <w:p w:rsidR="00AB4299" w:rsidRPr="00405717" w:rsidRDefault="00AB4299" w:rsidP="00AB53E9">
            <w:pPr>
              <w:rPr>
                <w:rFonts w:eastAsia="Times New Roman"/>
              </w:rPr>
            </w:pPr>
            <w:r w:rsidRPr="00405717">
              <w:rPr>
                <w:rFonts w:eastAsia="Times New Roman"/>
              </w:rPr>
              <w:t>3, 2, 2</w:t>
            </w:r>
          </w:p>
        </w:tc>
      </w:tr>
      <w:tr w:rsidR="00AB4299" w:rsidRPr="00405717" w:rsidTr="00AB4299">
        <w:trPr>
          <w:trHeight w:val="1518"/>
        </w:trPr>
        <w:tc>
          <w:tcPr>
            <w:tcW w:w="0" w:type="auto"/>
          </w:tcPr>
          <w:p w:rsidR="00AB4299" w:rsidRPr="00405717" w:rsidRDefault="00AB4299" w:rsidP="00AB53E9">
            <w:pPr>
              <w:rPr>
                <w:rFonts w:eastAsia="Times New Roman"/>
              </w:rPr>
            </w:pPr>
            <w:r w:rsidRPr="00405717">
              <w:t>The ability to synthesize evidence, and apply statistical financial, economic and cost-effectiveness tools/techniques in organizational analysis</w:t>
            </w:r>
          </w:p>
        </w:tc>
        <w:tc>
          <w:tcPr>
            <w:tcW w:w="0" w:type="auto"/>
          </w:tcPr>
          <w:p w:rsidR="00AB4299" w:rsidRPr="00405717" w:rsidRDefault="00AB4299" w:rsidP="00AB53E9">
            <w:pPr>
              <w:rPr>
                <w:rFonts w:eastAsia="Times New Roman"/>
              </w:rPr>
            </w:pPr>
            <w:r w:rsidRPr="00405717">
              <w:rPr>
                <w:rFonts w:eastAsia="Times New Roman"/>
              </w:rPr>
              <w:t>Become familiar with the techniques health economists use to assess policy effects.</w:t>
            </w:r>
          </w:p>
        </w:tc>
        <w:tc>
          <w:tcPr>
            <w:tcW w:w="0" w:type="auto"/>
          </w:tcPr>
          <w:p w:rsidR="00AB4299" w:rsidRPr="00405717" w:rsidRDefault="00AB4299" w:rsidP="00AB53E9">
            <w:pPr>
              <w:rPr>
                <w:rFonts w:eastAsia="Times New Roman"/>
              </w:rPr>
            </w:pPr>
            <w:r w:rsidRPr="00405717">
              <w:rPr>
                <w:rFonts w:eastAsia="Times New Roman"/>
              </w:rPr>
              <w:t>Assignment #3</w:t>
            </w:r>
          </w:p>
        </w:tc>
        <w:tc>
          <w:tcPr>
            <w:tcW w:w="0" w:type="auto"/>
          </w:tcPr>
          <w:p w:rsidR="00AB4299" w:rsidRPr="00405717" w:rsidRDefault="00AB4299" w:rsidP="00AB53E9">
            <w:pPr>
              <w:rPr>
                <w:rFonts w:eastAsia="Times New Roman"/>
              </w:rPr>
            </w:pPr>
            <w:r w:rsidRPr="00405717">
              <w:rPr>
                <w:rFonts w:eastAsia="Times New Roman"/>
              </w:rPr>
              <w:t>2</w:t>
            </w:r>
          </w:p>
        </w:tc>
      </w:tr>
      <w:tr w:rsidR="00AB4299" w:rsidRPr="00405717" w:rsidTr="00AB4299">
        <w:trPr>
          <w:trHeight w:val="1518"/>
        </w:trPr>
        <w:tc>
          <w:tcPr>
            <w:tcW w:w="0" w:type="auto"/>
          </w:tcPr>
          <w:p w:rsidR="00AB4299" w:rsidRPr="00405717" w:rsidRDefault="00AB4299" w:rsidP="00AB53E9">
            <w:pPr>
              <w:rPr>
                <w:rFonts w:eastAsia="Times New Roman"/>
              </w:rPr>
            </w:pPr>
            <w:r w:rsidRPr="00405717">
              <w:rPr>
                <w:rFonts w:eastAsia="Times New Roman"/>
              </w:rPr>
              <w:t>The ability to present convincingly to individuals and groups the evidence to support a point of view, position or recommendation.</w:t>
            </w:r>
          </w:p>
        </w:tc>
        <w:tc>
          <w:tcPr>
            <w:tcW w:w="0" w:type="auto"/>
          </w:tcPr>
          <w:p w:rsidR="00AB4299" w:rsidRPr="00405717" w:rsidRDefault="00AB4299" w:rsidP="00AB53E9">
            <w:pPr>
              <w:rPr>
                <w:rFonts w:eastAsia="Times New Roman"/>
              </w:rPr>
            </w:pPr>
            <w:r w:rsidRPr="00405717">
              <w:rPr>
                <w:rFonts w:eastAsia="Times New Roman"/>
              </w:rPr>
              <w:t>Be able to use evidence to make policy recommendations.</w:t>
            </w:r>
          </w:p>
        </w:tc>
        <w:tc>
          <w:tcPr>
            <w:tcW w:w="0" w:type="auto"/>
          </w:tcPr>
          <w:p w:rsidR="00AB4299" w:rsidRPr="00405717" w:rsidRDefault="00AB4299" w:rsidP="00AB53E9">
            <w:pPr>
              <w:rPr>
                <w:rFonts w:eastAsia="Times New Roman"/>
              </w:rPr>
            </w:pPr>
            <w:r w:rsidRPr="00405717">
              <w:rPr>
                <w:rFonts w:eastAsia="Times New Roman"/>
              </w:rPr>
              <w:t xml:space="preserve">Assignment #1,2,3 </w:t>
            </w:r>
          </w:p>
        </w:tc>
        <w:tc>
          <w:tcPr>
            <w:tcW w:w="0" w:type="auto"/>
          </w:tcPr>
          <w:p w:rsidR="00AB4299" w:rsidRPr="00405717" w:rsidRDefault="00AB4299" w:rsidP="00AB53E9">
            <w:pPr>
              <w:rPr>
                <w:rFonts w:eastAsia="Times New Roman"/>
              </w:rPr>
            </w:pPr>
            <w:r w:rsidRPr="00405717">
              <w:rPr>
                <w:rFonts w:eastAsia="Times New Roman"/>
              </w:rPr>
              <w:t xml:space="preserve">2, 2, 3 </w:t>
            </w:r>
          </w:p>
        </w:tc>
      </w:tr>
    </w:tbl>
    <w:p w:rsidR="00AD02F5" w:rsidRPr="00405717" w:rsidRDefault="00322624">
      <w:pPr>
        <w:rPr>
          <w:b/>
          <w:sz w:val="32"/>
          <w:szCs w:val="32"/>
        </w:rPr>
      </w:pPr>
      <w:bookmarkStart w:id="9" w:name="_4d34og8" w:colFirst="0" w:colLast="0"/>
      <w:bookmarkEnd w:id="9"/>
      <w:r w:rsidRPr="00405717">
        <w:br w:type="page"/>
      </w:r>
    </w:p>
    <w:p w:rsidR="00AD02F5" w:rsidRPr="00405717" w:rsidRDefault="00322624">
      <w:pPr>
        <w:pStyle w:val="Heading2"/>
      </w:pPr>
      <w:r w:rsidRPr="00405717">
        <w:rPr>
          <w:b/>
        </w:rPr>
        <w:lastRenderedPageBreak/>
        <w:t>Course Readings</w:t>
      </w:r>
    </w:p>
    <w:p w:rsidR="00AD02F5" w:rsidRPr="00405717" w:rsidRDefault="00322624">
      <w:r w:rsidRPr="00405717">
        <w:t xml:space="preserve">This course uses </w:t>
      </w:r>
      <w:r w:rsidR="0067484F" w:rsidRPr="00405717">
        <w:t>some</w:t>
      </w:r>
      <w:r w:rsidRPr="00405717">
        <w:t xml:space="preserve"> textbook</w:t>
      </w:r>
      <w:r w:rsidR="0067484F" w:rsidRPr="00405717">
        <w:t xml:space="preserve"> chapters (available at the library)</w:t>
      </w:r>
      <w:r w:rsidRPr="00405717">
        <w:t xml:space="preserve">, and supplemental journal </w:t>
      </w:r>
      <w:r w:rsidR="00AB4299" w:rsidRPr="00405717">
        <w:t>readings</w:t>
      </w:r>
      <w:r w:rsidRPr="00405717">
        <w:t>.</w:t>
      </w:r>
    </w:p>
    <w:p w:rsidR="00AD02F5" w:rsidRPr="00405717" w:rsidRDefault="00322624">
      <w:pPr>
        <w:numPr>
          <w:ilvl w:val="0"/>
          <w:numId w:val="3"/>
        </w:numPr>
        <w:pBdr>
          <w:top w:val="nil"/>
          <w:left w:val="nil"/>
          <w:bottom w:val="nil"/>
          <w:right w:val="nil"/>
          <w:between w:val="nil"/>
        </w:pBdr>
        <w:spacing w:before="240" w:after="240" w:line="240" w:lineRule="auto"/>
      </w:pPr>
      <w:r w:rsidRPr="00405717">
        <w:rPr>
          <w:color w:val="000000"/>
        </w:rPr>
        <w:t xml:space="preserve">Bhattacharya, Jay., Timothy Hyde, &amp; Peter Tu, </w:t>
      </w:r>
      <w:r w:rsidRPr="00405717">
        <w:rPr>
          <w:i/>
        </w:rPr>
        <w:t>H</w:t>
      </w:r>
      <w:r w:rsidRPr="00405717">
        <w:rPr>
          <w:i/>
          <w:color w:val="000000"/>
        </w:rPr>
        <w:t xml:space="preserve">ealth </w:t>
      </w:r>
      <w:r w:rsidRPr="00405717">
        <w:rPr>
          <w:i/>
        </w:rPr>
        <w:t>E</w:t>
      </w:r>
      <w:r w:rsidRPr="00405717">
        <w:rPr>
          <w:i/>
          <w:color w:val="000000"/>
        </w:rPr>
        <w:t>conomics</w:t>
      </w:r>
      <w:r w:rsidRPr="00405717">
        <w:rPr>
          <w:color w:val="000000"/>
        </w:rPr>
        <w:t>. New York: Palgrave Macmillan</w:t>
      </w:r>
      <w:r w:rsidRPr="00405717">
        <w:t>, 2014.</w:t>
      </w:r>
    </w:p>
    <w:p w:rsidR="00AD02F5" w:rsidRPr="00405717" w:rsidRDefault="00322624">
      <w:pPr>
        <w:pStyle w:val="Heading2"/>
        <w:keepNext w:val="0"/>
        <w:keepLines w:val="0"/>
        <w:spacing w:after="80"/>
      </w:pPr>
      <w:r w:rsidRPr="00405717">
        <w:rPr>
          <w:b/>
        </w:rPr>
        <w:t>Assessment Assignments and Evaluation</w:t>
      </w:r>
    </w:p>
    <w:p w:rsidR="00AD02F5" w:rsidRPr="00405717" w:rsidRDefault="00322624">
      <w:pPr>
        <w:spacing w:after="120" w:line="273" w:lineRule="auto"/>
        <w:rPr>
          <w:b/>
          <w:sz w:val="28"/>
          <w:szCs w:val="28"/>
        </w:rPr>
      </w:pPr>
      <w:r w:rsidRPr="00405717">
        <w:rPr>
          <w:b/>
          <w:sz w:val="28"/>
          <w:szCs w:val="28"/>
        </w:rPr>
        <w:t>Individual Assessment (100 points each)</w:t>
      </w:r>
    </w:p>
    <w:p w:rsidR="00AD02F5" w:rsidRPr="00405717" w:rsidRDefault="00322624">
      <w:pPr>
        <w:pStyle w:val="Heading3"/>
      </w:pPr>
      <w:r w:rsidRPr="00405717">
        <w:rPr>
          <w:color w:val="000000"/>
          <w:sz w:val="22"/>
          <w:szCs w:val="22"/>
          <w:u w:val="single"/>
        </w:rPr>
        <w:t>Homework Assignments (</w:t>
      </w:r>
      <w:r w:rsidR="0067484F" w:rsidRPr="00405717">
        <w:rPr>
          <w:color w:val="000000"/>
          <w:sz w:val="22"/>
          <w:szCs w:val="22"/>
          <w:u w:val="single"/>
        </w:rPr>
        <w:t>75</w:t>
      </w:r>
      <w:r w:rsidRPr="00405717">
        <w:rPr>
          <w:color w:val="000000"/>
          <w:sz w:val="22"/>
          <w:szCs w:val="22"/>
          <w:u w:val="single"/>
        </w:rPr>
        <w:t>%</w:t>
      </w:r>
      <w:r w:rsidR="00AB4299" w:rsidRPr="00405717">
        <w:rPr>
          <w:color w:val="000000"/>
          <w:sz w:val="22"/>
          <w:szCs w:val="22"/>
          <w:u w:val="single"/>
        </w:rPr>
        <w:t xml:space="preserve"> - 2</w:t>
      </w:r>
      <w:r w:rsidR="0067484F" w:rsidRPr="00405717">
        <w:rPr>
          <w:color w:val="000000"/>
          <w:sz w:val="22"/>
          <w:szCs w:val="22"/>
          <w:u w:val="single"/>
        </w:rPr>
        <w:t>5</w:t>
      </w:r>
      <w:r w:rsidR="00AB4299" w:rsidRPr="00405717">
        <w:rPr>
          <w:color w:val="000000"/>
          <w:sz w:val="22"/>
          <w:szCs w:val="22"/>
          <w:u w:val="single"/>
        </w:rPr>
        <w:t>% each</w:t>
      </w:r>
      <w:r w:rsidRPr="00405717">
        <w:rPr>
          <w:color w:val="000000"/>
          <w:sz w:val="22"/>
          <w:szCs w:val="22"/>
          <w:u w:val="single"/>
        </w:rPr>
        <w:t>):</w:t>
      </w:r>
    </w:p>
    <w:p w:rsidR="00AD02F5" w:rsidRPr="00405717" w:rsidRDefault="00322624">
      <w:pPr>
        <w:pBdr>
          <w:top w:val="nil"/>
          <w:left w:val="nil"/>
          <w:bottom w:val="nil"/>
          <w:right w:val="nil"/>
          <w:between w:val="nil"/>
        </w:pBdr>
        <w:spacing w:line="240" w:lineRule="auto"/>
        <w:rPr>
          <w:color w:val="000000"/>
        </w:rPr>
      </w:pPr>
      <w:r w:rsidRPr="00405717">
        <w:rPr>
          <w:color w:val="000000"/>
        </w:rPr>
        <w:t>Three homework assignments will assess your ability to understand course material as well as related research evidence, and to analyze content in order to make evidence-based decisions and recommendations. These homework assignments also ask you to use written communication skills to present your findings and recommendations.</w:t>
      </w:r>
    </w:p>
    <w:p w:rsidR="00AD02F5" w:rsidRPr="00405717" w:rsidRDefault="00AD02F5">
      <w:pPr>
        <w:pBdr>
          <w:top w:val="nil"/>
          <w:left w:val="nil"/>
          <w:bottom w:val="nil"/>
          <w:right w:val="nil"/>
          <w:between w:val="nil"/>
        </w:pBdr>
        <w:spacing w:line="240" w:lineRule="auto"/>
        <w:rPr>
          <w:color w:val="000000"/>
        </w:rPr>
      </w:pPr>
    </w:p>
    <w:p w:rsidR="00AD02F5" w:rsidRPr="00405717" w:rsidRDefault="00322624">
      <w:pPr>
        <w:rPr>
          <w:u w:val="single"/>
        </w:rPr>
      </w:pPr>
      <w:r w:rsidRPr="00405717">
        <w:rPr>
          <w:u w:val="single"/>
        </w:rPr>
        <w:t>Final Examination (</w:t>
      </w:r>
      <w:r w:rsidR="0067484F" w:rsidRPr="00405717">
        <w:rPr>
          <w:u w:val="single"/>
        </w:rPr>
        <w:t>2</w:t>
      </w:r>
      <w:r w:rsidR="00AB4299" w:rsidRPr="00405717">
        <w:rPr>
          <w:u w:val="single"/>
        </w:rPr>
        <w:t>5</w:t>
      </w:r>
      <w:r w:rsidRPr="00405717">
        <w:rPr>
          <w:u w:val="single"/>
        </w:rPr>
        <w:t>%)</w:t>
      </w:r>
    </w:p>
    <w:p w:rsidR="00AD02F5" w:rsidRPr="00405717" w:rsidRDefault="00AD02F5">
      <w:pPr>
        <w:pBdr>
          <w:top w:val="nil"/>
          <w:left w:val="nil"/>
          <w:bottom w:val="nil"/>
          <w:right w:val="nil"/>
          <w:between w:val="nil"/>
        </w:pBdr>
        <w:spacing w:line="240" w:lineRule="auto"/>
        <w:rPr>
          <w:rFonts w:eastAsia="Times New Roman"/>
          <w:color w:val="000000"/>
          <w:sz w:val="24"/>
          <w:szCs w:val="24"/>
        </w:rPr>
      </w:pPr>
    </w:p>
    <w:p w:rsidR="00AD02F5" w:rsidRPr="00405717" w:rsidRDefault="00322624">
      <w:pPr>
        <w:pStyle w:val="Heading2"/>
        <w:spacing w:line="273" w:lineRule="auto"/>
        <w:rPr>
          <w:b/>
          <w:sz w:val="24"/>
          <w:szCs w:val="24"/>
        </w:rPr>
      </w:pPr>
      <w:r w:rsidRPr="00405717">
        <w:rPr>
          <w:b/>
          <w:sz w:val="24"/>
          <w:szCs w:val="24"/>
        </w:rPr>
        <w:t>Assignment Instructions</w:t>
      </w:r>
    </w:p>
    <w:p w:rsidR="00AB4299" w:rsidRPr="00405717" w:rsidRDefault="00AB4299" w:rsidP="00AB4299">
      <w:pPr>
        <w:rPr>
          <w:sz w:val="24"/>
          <w:szCs w:val="24"/>
        </w:rPr>
      </w:pPr>
      <w:r w:rsidRPr="00405717">
        <w:rPr>
          <w:sz w:val="24"/>
          <w:szCs w:val="24"/>
        </w:rPr>
        <w:t xml:space="preserve">All papers are to be submitted via the NYU Classes course site as WORD documents at least 1 hour before the start of class on their due date (3:55 pm). </w:t>
      </w:r>
      <w:r w:rsidRPr="00405717">
        <w:rPr>
          <w:i/>
          <w:sz w:val="24"/>
          <w:szCs w:val="24"/>
        </w:rPr>
        <w:t>Be sure your name is part of the document file name</w:t>
      </w:r>
      <w:r w:rsidRPr="00405717">
        <w:rPr>
          <w:sz w:val="24"/>
          <w:szCs w:val="24"/>
        </w:rPr>
        <w:t>.</w:t>
      </w:r>
    </w:p>
    <w:p w:rsidR="00AB4299" w:rsidRPr="00405717" w:rsidRDefault="00AB4299" w:rsidP="00AB4299">
      <w:pPr>
        <w:pStyle w:val="Heading2"/>
        <w:rPr>
          <w:sz w:val="24"/>
          <w:szCs w:val="24"/>
        </w:rPr>
      </w:pPr>
      <w:r w:rsidRPr="00405717">
        <w:rPr>
          <w:sz w:val="24"/>
          <w:szCs w:val="24"/>
        </w:rPr>
        <w:t>Grading</w:t>
      </w:r>
    </w:p>
    <w:p w:rsidR="00AB4299" w:rsidRPr="00405717" w:rsidRDefault="00AB4299" w:rsidP="00AB4299">
      <w:pPr>
        <w:rPr>
          <w:sz w:val="24"/>
          <w:szCs w:val="24"/>
          <w:lang w:val="en-GB"/>
        </w:rPr>
      </w:pPr>
      <w:bookmarkStart w:id="10" w:name="_j4ifqkoquew8" w:colFirst="0" w:colLast="0"/>
      <w:bookmarkEnd w:id="10"/>
      <w:r w:rsidRPr="00405717">
        <w:rPr>
          <w:sz w:val="24"/>
          <w:szCs w:val="24"/>
          <w:lang w:val="en-GB"/>
        </w:rPr>
        <w:t>Assignments 1, 2, and 3 will ask you to examine a policy/management issue and to use data to support your answer.  Each paper will be graded out of 50.  In your response, you should:</w:t>
      </w:r>
    </w:p>
    <w:p w:rsidR="00AB4299" w:rsidRPr="00405717" w:rsidRDefault="00AB4299" w:rsidP="00AB429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u w:val="single"/>
          <w:lang w:val="en-GB"/>
        </w:rPr>
      </w:pPr>
      <w:r w:rsidRPr="00405717">
        <w:rPr>
          <w:color w:val="auto"/>
          <w:sz w:val="24"/>
          <w:szCs w:val="24"/>
          <w:lang w:val="en-GB"/>
        </w:rPr>
        <w:t>Compose a clear, coherent, concise argument [20 points]</w:t>
      </w:r>
    </w:p>
    <w:p w:rsidR="00AB4299" w:rsidRPr="00405717" w:rsidRDefault="00AB4299" w:rsidP="00AB429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u w:val="single"/>
          <w:lang w:val="en-GB"/>
        </w:rPr>
      </w:pPr>
      <w:r w:rsidRPr="00405717">
        <w:rPr>
          <w:color w:val="auto"/>
          <w:sz w:val="24"/>
          <w:szCs w:val="24"/>
          <w:lang w:val="en-GB"/>
        </w:rPr>
        <w:t>Apply theories learned in class [10 points]</w:t>
      </w:r>
    </w:p>
    <w:p w:rsidR="00AB4299" w:rsidRPr="00405717" w:rsidRDefault="00AB4299" w:rsidP="00AB429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u w:val="single"/>
          <w:lang w:val="en-GB"/>
        </w:rPr>
      </w:pPr>
      <w:r w:rsidRPr="00405717">
        <w:rPr>
          <w:color w:val="auto"/>
          <w:sz w:val="24"/>
          <w:szCs w:val="24"/>
          <w:lang w:val="en-GB"/>
        </w:rPr>
        <w:t>Relate your analysis to at least one idea mentioned in the readings [5 points]</w:t>
      </w:r>
    </w:p>
    <w:p w:rsidR="00AB4299" w:rsidRPr="00405717" w:rsidRDefault="00AB4299" w:rsidP="00AB429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u w:val="single"/>
          <w:lang w:val="en-GB"/>
        </w:rPr>
      </w:pPr>
      <w:proofErr w:type="spellStart"/>
      <w:r w:rsidRPr="00405717">
        <w:rPr>
          <w:color w:val="auto"/>
          <w:sz w:val="24"/>
          <w:szCs w:val="24"/>
          <w:lang w:val="en-GB"/>
        </w:rPr>
        <w:t>Analyze</w:t>
      </w:r>
      <w:proofErr w:type="spellEnd"/>
      <w:r w:rsidRPr="00405717">
        <w:rPr>
          <w:color w:val="auto"/>
          <w:sz w:val="24"/>
          <w:szCs w:val="24"/>
          <w:lang w:val="en-GB"/>
        </w:rPr>
        <w:t xml:space="preserve"> evidence accurately [5 points]</w:t>
      </w:r>
    </w:p>
    <w:p w:rsidR="00AD02F5" w:rsidRPr="00405717" w:rsidRDefault="00AB4299" w:rsidP="00AF780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u w:val="single"/>
          <w:lang w:val="en-GB"/>
        </w:rPr>
      </w:pPr>
      <w:r w:rsidRPr="00405717">
        <w:rPr>
          <w:color w:val="auto"/>
          <w:sz w:val="24"/>
          <w:szCs w:val="24"/>
          <w:lang w:val="en-GB"/>
        </w:rPr>
        <w:t>Use evidence to support your argument [10 points]</w:t>
      </w:r>
    </w:p>
    <w:p w:rsidR="00AD02F5" w:rsidRPr="00405717" w:rsidRDefault="00AB4299" w:rsidP="00AB4299">
      <w:pPr>
        <w:pBdr>
          <w:top w:val="nil"/>
          <w:left w:val="nil"/>
          <w:bottom w:val="nil"/>
          <w:right w:val="nil"/>
          <w:between w:val="nil"/>
        </w:pBdr>
        <w:tabs>
          <w:tab w:val="left" w:pos="2410"/>
        </w:tabs>
        <w:spacing w:line="240" w:lineRule="auto"/>
        <w:rPr>
          <w:rFonts w:eastAsia="Times New Roman"/>
          <w:color w:val="000000"/>
          <w:sz w:val="24"/>
          <w:szCs w:val="24"/>
        </w:rPr>
      </w:pPr>
      <w:r w:rsidRPr="00405717">
        <w:rPr>
          <w:rFonts w:eastAsia="Times New Roman"/>
          <w:color w:val="000000"/>
          <w:sz w:val="24"/>
          <w:szCs w:val="24"/>
        </w:rPr>
        <w:tab/>
      </w:r>
    </w:p>
    <w:p w:rsidR="00F3098E" w:rsidRPr="00405717" w:rsidRDefault="00F3098E">
      <w:pPr>
        <w:rPr>
          <w:b/>
          <w:sz w:val="32"/>
          <w:szCs w:val="32"/>
        </w:rPr>
      </w:pPr>
      <w:r w:rsidRPr="00405717">
        <w:rPr>
          <w:b/>
          <w:sz w:val="32"/>
          <w:szCs w:val="32"/>
        </w:rPr>
        <w:br w:type="page"/>
      </w:r>
    </w:p>
    <w:p w:rsidR="00AD02F5" w:rsidRPr="00405717" w:rsidRDefault="00322624">
      <w:pPr>
        <w:rPr>
          <w:b/>
          <w:sz w:val="28"/>
          <w:szCs w:val="28"/>
        </w:rPr>
      </w:pPr>
      <w:r w:rsidRPr="00405717">
        <w:rPr>
          <w:b/>
          <w:sz w:val="28"/>
          <w:szCs w:val="28"/>
        </w:rPr>
        <w:lastRenderedPageBreak/>
        <w:t>Detailed Course Overview</w:t>
      </w:r>
    </w:p>
    <w:p w:rsidR="002B09AE" w:rsidRPr="00405717" w:rsidRDefault="00AB4299" w:rsidP="002B09AE">
      <w:pPr>
        <w:pStyle w:val="Heading3"/>
        <w:rPr>
          <w:b/>
        </w:rPr>
      </w:pPr>
      <w:bookmarkStart w:id="11" w:name="_35nkun2" w:colFirst="0" w:colLast="0"/>
      <w:bookmarkEnd w:id="11"/>
      <w:r w:rsidRPr="00405717">
        <w:rPr>
          <w:b/>
          <w:color w:val="000000"/>
        </w:rPr>
        <w:t>Lecture 1</w:t>
      </w:r>
      <w:r w:rsidR="00322624" w:rsidRPr="00405717">
        <w:rPr>
          <w:b/>
          <w:color w:val="000000"/>
        </w:rPr>
        <w:t xml:space="preserve">: </w:t>
      </w:r>
      <w:r w:rsidR="00B55851" w:rsidRPr="00405717">
        <w:rPr>
          <w:b/>
        </w:rPr>
        <w:t>March 28, 2022-</w:t>
      </w:r>
      <w:r w:rsidR="002B09AE" w:rsidRPr="00405717">
        <w:rPr>
          <w:b/>
        </w:rPr>
        <w:t xml:space="preserve">Obesity </w:t>
      </w:r>
      <w:r w:rsidR="002D31B4" w:rsidRPr="00405717">
        <w:rPr>
          <w:b/>
        </w:rPr>
        <w:t>Policy and Economics</w:t>
      </w:r>
    </w:p>
    <w:p w:rsidR="002B09AE" w:rsidRPr="00405717" w:rsidRDefault="002B09AE" w:rsidP="00F3098E">
      <w:pPr>
        <w:spacing w:before="100" w:beforeAutospacing="1" w:after="100" w:afterAutospacing="1"/>
      </w:pPr>
      <w:r w:rsidRPr="00405717">
        <w:t> </w:t>
      </w:r>
      <w:r w:rsidRPr="00405717">
        <w:rPr>
          <w:u w:val="single"/>
        </w:rPr>
        <w:t>Resources</w:t>
      </w:r>
      <w:r w:rsidRPr="00405717">
        <w:t> </w:t>
      </w:r>
    </w:p>
    <w:p w:rsidR="002B09AE" w:rsidRPr="00405717" w:rsidRDefault="00F64767" w:rsidP="002B09AE">
      <w:pPr>
        <w:spacing w:line="240" w:lineRule="auto"/>
        <w:ind w:left="720"/>
      </w:pPr>
      <w:r w:rsidRPr="00405717">
        <w:t xml:space="preserve">Cawley, J. (2013). The economics of obesity. </w:t>
      </w:r>
      <w:r w:rsidRPr="00405717">
        <w:rPr>
          <w:i/>
          <w:iCs/>
        </w:rPr>
        <w:t>The Oxford handbook of the social science of obesity</w:t>
      </w:r>
      <w:r w:rsidRPr="00405717">
        <w:t xml:space="preserve">, 120-137. </w:t>
      </w:r>
      <w:hyperlink r:id="rId10" w:tgtFrame="_blank" w:history="1">
        <w:r w:rsidR="002B09AE" w:rsidRPr="00405717">
          <w:rPr>
            <w:rStyle w:val="Hyperlink"/>
          </w:rPr>
          <w:t>https://www.nber.org/reporter/2013number4/economics-obesity</w:t>
        </w:r>
      </w:hyperlink>
    </w:p>
    <w:p w:rsidR="002B09AE" w:rsidRPr="00405717" w:rsidRDefault="002B09AE" w:rsidP="002B09AE">
      <w:pPr>
        <w:spacing w:line="240" w:lineRule="auto"/>
        <w:ind w:left="720"/>
      </w:pPr>
      <w:r w:rsidRPr="00405717">
        <w:t> </w:t>
      </w:r>
    </w:p>
    <w:p w:rsidR="002B09AE" w:rsidRPr="00405717" w:rsidRDefault="00F64767" w:rsidP="002B09AE">
      <w:pPr>
        <w:spacing w:line="240" w:lineRule="auto"/>
        <w:ind w:left="720"/>
      </w:pPr>
      <w:proofErr w:type="spellStart"/>
      <w:r w:rsidRPr="00405717">
        <w:t>Petimar</w:t>
      </w:r>
      <w:proofErr w:type="spellEnd"/>
      <w:r w:rsidRPr="00405717">
        <w:t xml:space="preserve">, J., Gibson, L. A., Yan, J., Bleich, S. N., Mitra, N., Trego, M. L., ... &amp; Roberto, C. A. (2022). Sustained Impact of the Philadelphia Beverage Tax on Beverage Prices and Sales Over 2 Years. </w:t>
      </w:r>
      <w:r w:rsidRPr="00405717">
        <w:rPr>
          <w:i/>
          <w:iCs/>
        </w:rPr>
        <w:t>American Journal of Preventive Medicine</w:t>
      </w:r>
      <w:r w:rsidRPr="00405717">
        <w:t xml:space="preserve">. </w:t>
      </w:r>
      <w:hyperlink r:id="rId11" w:tgtFrame="_blank" w:history="1">
        <w:r w:rsidR="002B09AE" w:rsidRPr="00405717">
          <w:rPr>
            <w:rStyle w:val="Hyperlink"/>
          </w:rPr>
          <w:t>https://pubmed.ncbi.nlm.nih.gov/35221175/</w:t>
        </w:r>
      </w:hyperlink>
    </w:p>
    <w:p w:rsidR="002B09AE" w:rsidRPr="00405717" w:rsidRDefault="002B09AE" w:rsidP="002B09AE">
      <w:pPr>
        <w:spacing w:line="240" w:lineRule="auto"/>
        <w:ind w:left="720"/>
      </w:pPr>
      <w:r w:rsidRPr="00405717">
        <w:t> </w:t>
      </w:r>
    </w:p>
    <w:p w:rsidR="00F64767" w:rsidRPr="00405717" w:rsidRDefault="00F64767" w:rsidP="00F64767">
      <w:pPr>
        <w:spacing w:line="240" w:lineRule="auto"/>
        <w:ind w:left="720"/>
        <w:rPr>
          <w:rFonts w:eastAsia="Times New Roman"/>
          <w:sz w:val="24"/>
          <w:szCs w:val="24"/>
          <w:lang w:val="en-US"/>
        </w:rPr>
      </w:pPr>
      <w:proofErr w:type="spellStart"/>
      <w:r w:rsidRPr="00405717">
        <w:rPr>
          <w:rFonts w:eastAsia="Times New Roman"/>
          <w:sz w:val="24"/>
          <w:szCs w:val="24"/>
          <w:lang w:val="en-US"/>
        </w:rPr>
        <w:t>Rummo</w:t>
      </w:r>
      <w:proofErr w:type="spellEnd"/>
      <w:r w:rsidRPr="00405717">
        <w:rPr>
          <w:rFonts w:eastAsia="Times New Roman"/>
          <w:sz w:val="24"/>
          <w:szCs w:val="24"/>
          <w:lang w:val="en-US"/>
        </w:rPr>
        <w:t xml:space="preserve">, P. E., Noriega, D., </w:t>
      </w:r>
      <w:proofErr w:type="spellStart"/>
      <w:r w:rsidRPr="00405717">
        <w:rPr>
          <w:rFonts w:eastAsia="Times New Roman"/>
          <w:sz w:val="24"/>
          <w:szCs w:val="24"/>
          <w:lang w:val="en-US"/>
        </w:rPr>
        <w:t>Parret</w:t>
      </w:r>
      <w:proofErr w:type="spellEnd"/>
      <w:r w:rsidRPr="00405717">
        <w:rPr>
          <w:rFonts w:eastAsia="Times New Roman"/>
          <w:sz w:val="24"/>
          <w:szCs w:val="24"/>
          <w:lang w:val="en-US"/>
        </w:rPr>
        <w:t xml:space="preserve">, A., Harding, M., </w:t>
      </w:r>
      <w:proofErr w:type="spellStart"/>
      <w:r w:rsidRPr="00405717">
        <w:rPr>
          <w:rFonts w:eastAsia="Times New Roman"/>
          <w:sz w:val="24"/>
          <w:szCs w:val="24"/>
          <w:lang w:val="en-US"/>
        </w:rPr>
        <w:t>Hesterman</w:t>
      </w:r>
      <w:proofErr w:type="spellEnd"/>
      <w:r w:rsidRPr="00405717">
        <w:rPr>
          <w:rFonts w:eastAsia="Times New Roman"/>
          <w:sz w:val="24"/>
          <w:szCs w:val="24"/>
          <w:lang w:val="en-US"/>
        </w:rPr>
        <w:t xml:space="preserve">, O., &amp; </w:t>
      </w:r>
      <w:proofErr w:type="spellStart"/>
      <w:r w:rsidRPr="00405717">
        <w:rPr>
          <w:rFonts w:eastAsia="Times New Roman"/>
          <w:sz w:val="24"/>
          <w:szCs w:val="24"/>
          <w:lang w:val="en-US"/>
        </w:rPr>
        <w:t>Elbel</w:t>
      </w:r>
      <w:proofErr w:type="spellEnd"/>
      <w:r w:rsidRPr="00405717">
        <w:rPr>
          <w:rFonts w:eastAsia="Times New Roman"/>
          <w:sz w:val="24"/>
          <w:szCs w:val="24"/>
          <w:lang w:val="en-US"/>
        </w:rPr>
        <w:t xml:space="preserve">, B. E. (2019). Evaluating A USDA Program That Gives SNAP Participants Financial Incentives To Buy Fresh Produce In Supermarkets. </w:t>
      </w:r>
      <w:r w:rsidRPr="00405717">
        <w:rPr>
          <w:rFonts w:eastAsia="Times New Roman"/>
          <w:i/>
          <w:iCs/>
          <w:sz w:val="24"/>
          <w:szCs w:val="24"/>
          <w:lang w:val="en-US"/>
        </w:rPr>
        <w:t>Health affairs (Project Hope)</w:t>
      </w:r>
      <w:r w:rsidRPr="00405717">
        <w:rPr>
          <w:rFonts w:eastAsia="Times New Roman"/>
          <w:sz w:val="24"/>
          <w:szCs w:val="24"/>
          <w:lang w:val="en-US"/>
        </w:rPr>
        <w:t xml:space="preserve">, </w:t>
      </w:r>
      <w:r w:rsidRPr="00405717">
        <w:rPr>
          <w:rFonts w:eastAsia="Times New Roman"/>
          <w:i/>
          <w:iCs/>
          <w:sz w:val="24"/>
          <w:szCs w:val="24"/>
          <w:lang w:val="en-US"/>
        </w:rPr>
        <w:t>38</w:t>
      </w:r>
      <w:r w:rsidRPr="00405717">
        <w:rPr>
          <w:rFonts w:eastAsia="Times New Roman"/>
          <w:sz w:val="24"/>
          <w:szCs w:val="24"/>
          <w:lang w:val="en-US"/>
        </w:rPr>
        <w:t>(11), 1816–1823. https://doi.org/10.1377/hlthaff.2019.00431</w:t>
      </w:r>
    </w:p>
    <w:p w:rsidR="002B09AE" w:rsidRPr="00405717" w:rsidRDefault="007C56F6" w:rsidP="002B09AE">
      <w:pPr>
        <w:spacing w:line="240" w:lineRule="auto"/>
        <w:ind w:left="720"/>
        <w:rPr>
          <w:rStyle w:val="Hyperlink"/>
        </w:rPr>
      </w:pPr>
      <w:hyperlink r:id="rId12" w:tgtFrame="_blank" w:history="1">
        <w:r w:rsidR="002B09AE" w:rsidRPr="00405717">
          <w:rPr>
            <w:rStyle w:val="Hyperlink"/>
          </w:rPr>
          <w:t>https://pubmed.ncbi.nlm.nih.gov/31682488/</w:t>
        </w:r>
      </w:hyperlink>
    </w:p>
    <w:p w:rsidR="00F3098E" w:rsidRPr="00405717" w:rsidRDefault="00F3098E" w:rsidP="002B09AE">
      <w:pPr>
        <w:spacing w:line="240" w:lineRule="auto"/>
        <w:ind w:left="720"/>
      </w:pPr>
    </w:p>
    <w:p w:rsidR="00AD02F5" w:rsidRDefault="00B66CFF">
      <w:pPr>
        <w:pStyle w:val="Heading3"/>
        <w:rPr>
          <w:b/>
          <w:color w:val="000000"/>
        </w:rPr>
      </w:pPr>
      <w:r w:rsidRPr="00405717">
        <w:rPr>
          <w:b/>
          <w:color w:val="000000"/>
        </w:rPr>
        <w:t>Lecture 2</w:t>
      </w:r>
      <w:r w:rsidR="00322624" w:rsidRPr="00405717">
        <w:rPr>
          <w:b/>
          <w:color w:val="000000"/>
        </w:rPr>
        <w:t xml:space="preserve">: </w:t>
      </w:r>
      <w:r w:rsidR="00B55851" w:rsidRPr="00405717">
        <w:rPr>
          <w:b/>
          <w:color w:val="000000"/>
        </w:rPr>
        <w:t>April 4, 2022-</w:t>
      </w:r>
      <w:r w:rsidR="00322624" w:rsidRPr="00405717">
        <w:rPr>
          <w:b/>
          <w:color w:val="000000"/>
        </w:rPr>
        <w:t>Hospitals and Vertical Integration</w:t>
      </w:r>
      <w:r w:rsidR="00B55851" w:rsidRPr="00405717">
        <w:rPr>
          <w:b/>
          <w:color w:val="000000"/>
        </w:rPr>
        <w:t xml:space="preserve"> </w:t>
      </w:r>
    </w:p>
    <w:p w:rsidR="005D0B64" w:rsidRPr="005D0B64" w:rsidRDefault="005D0B64" w:rsidP="005D0B64"/>
    <w:p w:rsidR="00AD02F5" w:rsidRDefault="00322624">
      <w:pPr>
        <w:rPr>
          <w:u w:val="single"/>
        </w:rPr>
      </w:pPr>
      <w:r w:rsidRPr="00405717">
        <w:rPr>
          <w:u w:val="single"/>
        </w:rPr>
        <w:t>Resources</w:t>
      </w:r>
    </w:p>
    <w:p w:rsidR="005D0B64" w:rsidRPr="00405717" w:rsidRDefault="005D0B64">
      <w:pPr>
        <w:rPr>
          <w:u w:val="single"/>
        </w:rPr>
      </w:pPr>
    </w:p>
    <w:p w:rsidR="00AD02F5" w:rsidRPr="00405717" w:rsidRDefault="00322624" w:rsidP="00B66CFF">
      <w:pPr>
        <w:spacing w:line="240" w:lineRule="auto"/>
        <w:ind w:left="720"/>
        <w:rPr>
          <w:rFonts w:eastAsia="Times New Roman"/>
          <w:color w:val="000000"/>
          <w:sz w:val="24"/>
          <w:szCs w:val="24"/>
        </w:rPr>
      </w:pPr>
      <w:r w:rsidRPr="00405717">
        <w:t xml:space="preserve">Bhattacharya, Jay, Timothy Hyde, &amp; Peter Tu, </w:t>
      </w:r>
      <w:r w:rsidRPr="00405717">
        <w:rPr>
          <w:i/>
        </w:rPr>
        <w:t>Health Economics</w:t>
      </w:r>
      <w:r w:rsidRPr="00405717">
        <w:t>. New York: Palgrave Macmillan, 2014.</w:t>
      </w:r>
      <w:r w:rsidR="00B66CFF" w:rsidRPr="00405717">
        <w:t xml:space="preserve">  </w:t>
      </w:r>
      <w:r w:rsidRPr="00405717">
        <w:rPr>
          <w:color w:val="000000"/>
        </w:rPr>
        <w:t>Chapter 6</w:t>
      </w:r>
      <w:r w:rsidR="00B66CFF" w:rsidRPr="00405717">
        <w:rPr>
          <w:color w:val="000000"/>
        </w:rPr>
        <w:t xml:space="preserve"> – Skip Section 6.3 for now.</w:t>
      </w:r>
    </w:p>
    <w:p w:rsidR="00AD02F5" w:rsidRPr="00405717" w:rsidRDefault="00322624">
      <w:pPr>
        <w:pBdr>
          <w:top w:val="nil"/>
          <w:left w:val="nil"/>
          <w:bottom w:val="nil"/>
          <w:right w:val="nil"/>
          <w:between w:val="nil"/>
        </w:pBdr>
        <w:spacing w:line="240" w:lineRule="auto"/>
        <w:rPr>
          <w:rFonts w:eastAsia="Times New Roman"/>
          <w:color w:val="000000"/>
          <w:sz w:val="24"/>
          <w:szCs w:val="24"/>
        </w:rPr>
      </w:pPr>
      <w:r w:rsidRPr="00405717">
        <w:rPr>
          <w:color w:val="000000"/>
        </w:rPr>
        <w:t> </w:t>
      </w:r>
    </w:p>
    <w:p w:rsidR="00AD02F5" w:rsidRPr="00405717" w:rsidRDefault="00322624" w:rsidP="00B66CFF">
      <w:pPr>
        <w:spacing w:line="240" w:lineRule="auto"/>
        <w:ind w:left="720"/>
        <w:rPr>
          <w:rFonts w:eastAsia="Times New Roman"/>
          <w:color w:val="000000"/>
          <w:sz w:val="24"/>
          <w:szCs w:val="24"/>
        </w:rPr>
      </w:pPr>
      <w:r w:rsidRPr="00405717">
        <w:t xml:space="preserve">Baker, George P. and Thomas N. Hubbard. “Contractibility and Asset Ownership: On-Board Computers and Governance in U.S. Trucking.” </w:t>
      </w:r>
      <w:r w:rsidRPr="00405717">
        <w:rPr>
          <w:i/>
        </w:rPr>
        <w:t>The Quarterly Journal of Economics</w:t>
      </w:r>
      <w:r w:rsidRPr="00405717">
        <w:t xml:space="preserve">, 11, no. 4 (2004): 1443-1479. </w:t>
      </w:r>
      <w:r w:rsidR="00B66CFF" w:rsidRPr="00405717">
        <w:t xml:space="preserve"> </w:t>
      </w:r>
      <w:r w:rsidRPr="00405717">
        <w:rPr>
          <w:color w:val="000000"/>
        </w:rPr>
        <w:t xml:space="preserve">Read only </w:t>
      </w:r>
      <w:r w:rsidRPr="00405717">
        <w:t>the introduction.</w:t>
      </w:r>
    </w:p>
    <w:p w:rsidR="00AD02F5" w:rsidRPr="00405717" w:rsidRDefault="00AD02F5">
      <w:pPr>
        <w:ind w:left="720" w:hanging="720"/>
      </w:pPr>
    </w:p>
    <w:p w:rsidR="00AD02F5" w:rsidRPr="00405717" w:rsidRDefault="00322624" w:rsidP="009C69F1">
      <w:pPr>
        <w:pBdr>
          <w:top w:val="nil"/>
          <w:left w:val="nil"/>
          <w:bottom w:val="nil"/>
          <w:right w:val="nil"/>
          <w:between w:val="nil"/>
        </w:pBdr>
        <w:spacing w:line="240" w:lineRule="auto"/>
        <w:ind w:left="1440" w:hanging="720"/>
        <w:rPr>
          <w:color w:val="000000" w:themeColor="text1"/>
        </w:rPr>
      </w:pPr>
      <w:r w:rsidRPr="00405717">
        <w:rPr>
          <w:color w:val="000000" w:themeColor="text1"/>
        </w:rPr>
        <w:t xml:space="preserve">“Coase call: The theory of the firm.”. </w:t>
      </w:r>
      <w:r w:rsidRPr="00405717">
        <w:rPr>
          <w:i/>
          <w:color w:val="000000" w:themeColor="text1"/>
        </w:rPr>
        <w:t xml:space="preserve">The Economist, </w:t>
      </w:r>
      <w:r w:rsidRPr="00405717">
        <w:rPr>
          <w:color w:val="000000" w:themeColor="text1"/>
        </w:rPr>
        <w:t>29 July 2017: 59.</w:t>
      </w:r>
    </w:p>
    <w:p w:rsidR="00AD02F5" w:rsidRPr="00405717" w:rsidRDefault="00AD02F5" w:rsidP="009C69F1">
      <w:pPr>
        <w:pBdr>
          <w:top w:val="nil"/>
          <w:left w:val="nil"/>
          <w:bottom w:val="nil"/>
          <w:right w:val="nil"/>
          <w:between w:val="nil"/>
        </w:pBdr>
        <w:spacing w:line="240" w:lineRule="auto"/>
        <w:ind w:left="1440" w:hanging="720"/>
        <w:rPr>
          <w:color w:val="000000" w:themeColor="text1"/>
        </w:rPr>
      </w:pPr>
    </w:p>
    <w:p w:rsidR="005D0B64" w:rsidRDefault="00322624" w:rsidP="009C69F1">
      <w:pPr>
        <w:pBdr>
          <w:top w:val="nil"/>
          <w:left w:val="nil"/>
          <w:bottom w:val="nil"/>
          <w:right w:val="nil"/>
          <w:between w:val="nil"/>
        </w:pBdr>
        <w:spacing w:line="240" w:lineRule="auto"/>
        <w:ind w:left="1440" w:hanging="720"/>
        <w:rPr>
          <w:color w:val="000000" w:themeColor="text1"/>
        </w:rPr>
      </w:pPr>
      <w:r w:rsidRPr="00405717">
        <w:rPr>
          <w:color w:val="000000" w:themeColor="text1"/>
        </w:rPr>
        <w:t xml:space="preserve">Melnick, Glenn, and Lois Green. “Four Years </w:t>
      </w:r>
      <w:proofErr w:type="gramStart"/>
      <w:r w:rsidRPr="00405717">
        <w:rPr>
          <w:color w:val="000000" w:themeColor="text1"/>
        </w:rPr>
        <w:t>Into</w:t>
      </w:r>
      <w:proofErr w:type="gramEnd"/>
      <w:r w:rsidR="005D0B64">
        <w:rPr>
          <w:color w:val="000000" w:themeColor="text1"/>
        </w:rPr>
        <w:t xml:space="preserve"> a Commercial ACO for CalPERS:</w:t>
      </w:r>
    </w:p>
    <w:p w:rsidR="005D0B64" w:rsidRDefault="00322624" w:rsidP="009C69F1">
      <w:pPr>
        <w:pBdr>
          <w:top w:val="nil"/>
          <w:left w:val="nil"/>
          <w:bottom w:val="nil"/>
          <w:right w:val="nil"/>
          <w:between w:val="nil"/>
        </w:pBdr>
        <w:spacing w:line="240" w:lineRule="auto"/>
        <w:ind w:left="1440" w:hanging="720"/>
        <w:rPr>
          <w:color w:val="000000" w:themeColor="text1"/>
        </w:rPr>
      </w:pPr>
      <w:r w:rsidRPr="00405717">
        <w:rPr>
          <w:color w:val="000000" w:themeColor="text1"/>
        </w:rPr>
        <w:t xml:space="preserve">Substantial Savings and Lessons Learned.” </w:t>
      </w:r>
      <w:r w:rsidRPr="00405717">
        <w:rPr>
          <w:i/>
          <w:color w:val="000000" w:themeColor="text1"/>
        </w:rPr>
        <w:t>Health Affairs Blog</w:t>
      </w:r>
      <w:r w:rsidR="005D0B64">
        <w:rPr>
          <w:color w:val="000000" w:themeColor="text1"/>
        </w:rPr>
        <w:t>, 17 April 2014.</w:t>
      </w:r>
    </w:p>
    <w:p w:rsidR="00AD02F5" w:rsidRPr="00405717" w:rsidRDefault="007C56F6" w:rsidP="009C69F1">
      <w:pPr>
        <w:pBdr>
          <w:top w:val="nil"/>
          <w:left w:val="nil"/>
          <w:bottom w:val="nil"/>
          <w:right w:val="nil"/>
          <w:between w:val="nil"/>
        </w:pBdr>
        <w:spacing w:line="240" w:lineRule="auto"/>
        <w:ind w:left="1440" w:hanging="720"/>
        <w:rPr>
          <w:color w:val="000000" w:themeColor="text1"/>
        </w:rPr>
      </w:pPr>
      <w:hyperlink r:id="rId13">
        <w:r w:rsidR="00322624" w:rsidRPr="00405717">
          <w:rPr>
            <w:color w:val="000000" w:themeColor="text1"/>
            <w:u w:val="single"/>
          </w:rPr>
          <w:t>https://www.healthaffairs.org/do/10.1377/hblog20140417.038582/full/</w:t>
        </w:r>
      </w:hyperlink>
    </w:p>
    <w:p w:rsidR="00AD02F5" w:rsidRPr="00405717" w:rsidRDefault="00AD02F5" w:rsidP="009C69F1">
      <w:pPr>
        <w:ind w:left="720"/>
        <w:rPr>
          <w:color w:val="000000" w:themeColor="text1"/>
        </w:rPr>
      </w:pPr>
    </w:p>
    <w:p w:rsidR="00B66CFF" w:rsidRPr="00405717" w:rsidRDefault="009C69F1" w:rsidP="009C69F1">
      <w:pPr>
        <w:ind w:left="720"/>
        <w:jc w:val="both"/>
        <w:rPr>
          <w:color w:val="000000" w:themeColor="text1"/>
        </w:rPr>
      </w:pPr>
      <w:r w:rsidRPr="00405717">
        <w:rPr>
          <w:color w:val="000000" w:themeColor="text1"/>
        </w:rPr>
        <w:t xml:space="preserve">Burns, L. R., &amp; Pauly, M. V. (2012). Accountable care organizations may have difficulty avoiding the failures of integrated delivery networks of the 1990s. </w:t>
      </w:r>
      <w:r w:rsidRPr="00405717">
        <w:rPr>
          <w:i/>
          <w:iCs/>
          <w:color w:val="000000" w:themeColor="text1"/>
        </w:rPr>
        <w:t>Health Affairs</w:t>
      </w:r>
      <w:r w:rsidRPr="00405717">
        <w:rPr>
          <w:color w:val="000000" w:themeColor="text1"/>
        </w:rPr>
        <w:t xml:space="preserve">, </w:t>
      </w:r>
      <w:r w:rsidRPr="00405717">
        <w:rPr>
          <w:i/>
          <w:iCs/>
          <w:color w:val="000000" w:themeColor="text1"/>
        </w:rPr>
        <w:t>31</w:t>
      </w:r>
      <w:r w:rsidRPr="00405717">
        <w:rPr>
          <w:color w:val="000000" w:themeColor="text1"/>
        </w:rPr>
        <w:t>(11), 2407-2416.</w:t>
      </w:r>
      <w:hyperlink r:id="rId14" w:history="1">
        <w:r w:rsidR="00B66CFF" w:rsidRPr="00405717">
          <w:rPr>
            <w:rStyle w:val="Hyperlink"/>
            <w:color w:val="000000" w:themeColor="text1"/>
          </w:rPr>
          <w:t>https://www.healthaffairs.org/doi/pdf/10.1377/hlthaff.2011.0675</w:t>
        </w:r>
      </w:hyperlink>
      <w:r w:rsidR="003C620F" w:rsidRPr="00405717">
        <w:rPr>
          <w:rStyle w:val="Hyperlink"/>
          <w:color w:val="000000" w:themeColor="text1"/>
        </w:rPr>
        <w:t xml:space="preserve"> -- focus on abstract, intro, conclusion </w:t>
      </w:r>
    </w:p>
    <w:p w:rsidR="00B66CFF" w:rsidRPr="00405717" w:rsidRDefault="00B66CFF" w:rsidP="009C69F1">
      <w:pPr>
        <w:ind w:left="720"/>
        <w:rPr>
          <w:color w:val="000000" w:themeColor="text1"/>
        </w:rPr>
      </w:pPr>
    </w:p>
    <w:p w:rsidR="00B66CFF" w:rsidRPr="00405717" w:rsidRDefault="0016571C" w:rsidP="009C69F1">
      <w:pPr>
        <w:ind w:left="720"/>
        <w:jc w:val="both"/>
        <w:rPr>
          <w:color w:val="000000" w:themeColor="text1"/>
        </w:rPr>
      </w:pPr>
      <w:r w:rsidRPr="00405717">
        <w:rPr>
          <w:color w:val="000000" w:themeColor="text1"/>
        </w:rPr>
        <w:t xml:space="preserve">Roberts, E. T., McWilliams, J. M., Hatfield, L. A., </w:t>
      </w:r>
      <w:proofErr w:type="spellStart"/>
      <w:r w:rsidRPr="00405717">
        <w:rPr>
          <w:color w:val="000000" w:themeColor="text1"/>
        </w:rPr>
        <w:t>Gerovich</w:t>
      </w:r>
      <w:proofErr w:type="spellEnd"/>
      <w:r w:rsidRPr="00405717">
        <w:rPr>
          <w:color w:val="000000" w:themeColor="text1"/>
        </w:rPr>
        <w:t xml:space="preserve">, S., </w:t>
      </w:r>
      <w:proofErr w:type="spellStart"/>
      <w:r w:rsidRPr="00405717">
        <w:rPr>
          <w:color w:val="000000" w:themeColor="text1"/>
        </w:rPr>
        <w:t>Chernew</w:t>
      </w:r>
      <w:proofErr w:type="spellEnd"/>
      <w:r w:rsidRPr="00405717">
        <w:rPr>
          <w:color w:val="000000" w:themeColor="text1"/>
        </w:rPr>
        <w:t xml:space="preserve">, M. E., Gilstrap, L. G., &amp; Mehrotra, A. (2018). Changes in health care use associated with the introduction of hospital global budgets in Maryland. </w:t>
      </w:r>
      <w:r w:rsidRPr="00405717">
        <w:rPr>
          <w:i/>
          <w:iCs/>
          <w:color w:val="000000" w:themeColor="text1"/>
        </w:rPr>
        <w:t>JAMA internal medicine</w:t>
      </w:r>
      <w:r w:rsidRPr="00405717">
        <w:rPr>
          <w:color w:val="000000" w:themeColor="text1"/>
        </w:rPr>
        <w:t xml:space="preserve">, </w:t>
      </w:r>
      <w:r w:rsidRPr="00405717">
        <w:rPr>
          <w:i/>
          <w:iCs/>
          <w:color w:val="000000" w:themeColor="text1"/>
        </w:rPr>
        <w:t>178</w:t>
      </w:r>
      <w:r w:rsidRPr="00405717">
        <w:rPr>
          <w:color w:val="000000" w:themeColor="text1"/>
        </w:rPr>
        <w:t>(2), 260-268.</w:t>
      </w:r>
    </w:p>
    <w:p w:rsidR="005D0B64" w:rsidRDefault="005D0B64" w:rsidP="009C69F1">
      <w:pPr>
        <w:ind w:left="720"/>
        <w:jc w:val="both"/>
        <w:rPr>
          <w:color w:val="000000" w:themeColor="text1"/>
          <w:shd w:val="clear" w:color="auto" w:fill="FFFFFF"/>
        </w:rPr>
      </w:pPr>
    </w:p>
    <w:p w:rsidR="00B66CFF" w:rsidRPr="00405717" w:rsidRDefault="00B66CFF" w:rsidP="009C69F1">
      <w:pPr>
        <w:ind w:left="720"/>
        <w:jc w:val="both"/>
        <w:rPr>
          <w:color w:val="000000" w:themeColor="text1"/>
        </w:rPr>
      </w:pPr>
      <w:r w:rsidRPr="00405717">
        <w:rPr>
          <w:color w:val="000000" w:themeColor="text1"/>
          <w:shd w:val="clear" w:color="auto" w:fill="FFFFFF"/>
        </w:rPr>
        <w:t xml:space="preserve">McWilliams, J. Michael, Laura A. Hatfield, Bruce E. Landon, Pasha Hamed, and Michael E. </w:t>
      </w:r>
      <w:proofErr w:type="spellStart"/>
      <w:r w:rsidRPr="00405717">
        <w:rPr>
          <w:color w:val="000000" w:themeColor="text1"/>
          <w:shd w:val="clear" w:color="auto" w:fill="FFFFFF"/>
        </w:rPr>
        <w:t>Chernew</w:t>
      </w:r>
      <w:proofErr w:type="spellEnd"/>
      <w:r w:rsidRPr="00405717">
        <w:rPr>
          <w:color w:val="000000" w:themeColor="text1"/>
          <w:shd w:val="clear" w:color="auto" w:fill="FFFFFF"/>
        </w:rPr>
        <w:t>. "Medicare spending after 3 years of the Medicare Shared Savings Program." </w:t>
      </w:r>
      <w:r w:rsidRPr="00405717">
        <w:rPr>
          <w:i/>
          <w:iCs/>
          <w:color w:val="000000" w:themeColor="text1"/>
          <w:shd w:val="clear" w:color="auto" w:fill="FFFFFF"/>
        </w:rPr>
        <w:t>New England Journal of Medicine</w:t>
      </w:r>
      <w:r w:rsidRPr="00405717">
        <w:rPr>
          <w:color w:val="000000" w:themeColor="text1"/>
          <w:shd w:val="clear" w:color="auto" w:fill="FFFFFF"/>
        </w:rPr>
        <w:t xml:space="preserve"> 379, no. 12 (2018): 1139-1149.  </w:t>
      </w:r>
      <w:hyperlink r:id="rId15" w:history="1">
        <w:r w:rsidRPr="00405717">
          <w:rPr>
            <w:rStyle w:val="Hyperlink"/>
            <w:color w:val="000000" w:themeColor="text1"/>
          </w:rPr>
          <w:t>https://www.nejm.org/doi/full/10.1056/NEJMsa1803388</w:t>
        </w:r>
      </w:hyperlink>
      <w:r w:rsidR="003C620F" w:rsidRPr="00405717">
        <w:rPr>
          <w:rStyle w:val="Hyperlink"/>
          <w:color w:val="000000" w:themeColor="text1"/>
        </w:rPr>
        <w:t xml:space="preserve"> -- -- focus on abstract, intro, conclusion</w:t>
      </w:r>
    </w:p>
    <w:p w:rsidR="00B66CFF" w:rsidRPr="00405717" w:rsidRDefault="00B66CFF" w:rsidP="009C69F1">
      <w:pPr>
        <w:ind w:left="720"/>
        <w:rPr>
          <w:color w:val="000000" w:themeColor="text1"/>
        </w:rPr>
      </w:pPr>
    </w:p>
    <w:p w:rsidR="00B66CFF" w:rsidRPr="00405717" w:rsidRDefault="003C620F" w:rsidP="009C69F1">
      <w:pPr>
        <w:rPr>
          <w:color w:val="000000" w:themeColor="text1"/>
        </w:rPr>
      </w:pPr>
      <w:r w:rsidRPr="00405717">
        <w:rPr>
          <w:color w:val="000000" w:themeColor="text1"/>
          <w:u w:val="single"/>
          <w:lang w:val="en-GB"/>
        </w:rPr>
        <w:t>Assignment 1:</w:t>
      </w:r>
      <w:r w:rsidRPr="00405717">
        <w:rPr>
          <w:color w:val="000000" w:themeColor="text1"/>
          <w:lang w:val="en-GB"/>
        </w:rPr>
        <w:t xml:space="preserve">  Write a 2-3 page </w:t>
      </w:r>
      <w:r w:rsidR="00BC33DA" w:rsidRPr="00405717">
        <w:rPr>
          <w:color w:val="000000" w:themeColor="text1"/>
          <w:lang w:val="en-GB"/>
        </w:rPr>
        <w:t xml:space="preserve">(600 words) </w:t>
      </w:r>
      <w:r w:rsidRPr="00405717">
        <w:rPr>
          <w:color w:val="000000" w:themeColor="text1"/>
          <w:lang w:val="en-GB"/>
        </w:rPr>
        <w:t xml:space="preserve">memorandum analysing how electronic health records will affect the industrial organization of the health care system.  </w:t>
      </w:r>
      <w:r w:rsidRPr="00405717">
        <w:rPr>
          <w:color w:val="000000" w:themeColor="text1"/>
        </w:rPr>
        <w:t xml:space="preserve">Are electronic health records the GPS of medicine?  Provide evidence based on the readings and at least one of the NCHS data briefs on the use of electronic health records available at </w:t>
      </w:r>
      <w:hyperlink r:id="rId16" w:history="1">
        <w:r w:rsidRPr="00405717">
          <w:rPr>
            <w:rStyle w:val="Hyperlink"/>
            <w:color w:val="000000" w:themeColor="text1"/>
          </w:rPr>
          <w:t>https://www.cdc.gov/nchs/fastats/electronic-medical-records.htm</w:t>
        </w:r>
      </w:hyperlink>
      <w:r w:rsidRPr="00405717">
        <w:rPr>
          <w:color w:val="000000" w:themeColor="text1"/>
        </w:rPr>
        <w:t xml:space="preserve">).  Due before </w:t>
      </w:r>
      <w:r w:rsidR="00F3098E" w:rsidRPr="00405717">
        <w:rPr>
          <w:color w:val="000000" w:themeColor="text1"/>
        </w:rPr>
        <w:t xml:space="preserve">Lecture </w:t>
      </w:r>
      <w:r w:rsidRPr="00405717">
        <w:rPr>
          <w:color w:val="000000" w:themeColor="text1"/>
        </w:rPr>
        <w:t>3.</w:t>
      </w:r>
    </w:p>
    <w:p w:rsidR="00B66CFF" w:rsidRPr="00405717" w:rsidRDefault="00B66CFF" w:rsidP="009C69F1">
      <w:pPr>
        <w:ind w:left="720"/>
        <w:rPr>
          <w:color w:val="000000" w:themeColor="text1"/>
          <w:sz w:val="24"/>
          <w:szCs w:val="24"/>
        </w:rPr>
      </w:pPr>
    </w:p>
    <w:p w:rsidR="00AD02F5" w:rsidRPr="00405717" w:rsidRDefault="00B66CFF">
      <w:pPr>
        <w:pStyle w:val="Heading3"/>
        <w:rPr>
          <w:b/>
          <w:color w:val="000000"/>
        </w:rPr>
      </w:pPr>
      <w:r w:rsidRPr="00405717">
        <w:rPr>
          <w:b/>
          <w:color w:val="000000"/>
        </w:rPr>
        <w:t>Lecture 3</w:t>
      </w:r>
      <w:r w:rsidR="00322624" w:rsidRPr="00405717">
        <w:rPr>
          <w:b/>
          <w:color w:val="000000"/>
        </w:rPr>
        <w:t xml:space="preserve">: </w:t>
      </w:r>
      <w:r w:rsidR="00B55851" w:rsidRPr="00405717">
        <w:rPr>
          <w:b/>
          <w:color w:val="000000"/>
        </w:rPr>
        <w:t>April 11, 2022-</w:t>
      </w:r>
      <w:r w:rsidR="00322624" w:rsidRPr="00405717">
        <w:rPr>
          <w:b/>
          <w:color w:val="000000"/>
        </w:rPr>
        <w:t>Quality</w:t>
      </w:r>
    </w:p>
    <w:p w:rsidR="00AD02F5" w:rsidRPr="00405717" w:rsidRDefault="00AD02F5"/>
    <w:p w:rsidR="00AD02F5" w:rsidRDefault="00322624">
      <w:pPr>
        <w:rPr>
          <w:u w:val="single"/>
        </w:rPr>
      </w:pPr>
      <w:r w:rsidRPr="00405717">
        <w:rPr>
          <w:u w:val="single"/>
        </w:rPr>
        <w:t>Resources</w:t>
      </w:r>
    </w:p>
    <w:p w:rsidR="005D0B64" w:rsidRPr="00405717" w:rsidRDefault="005D0B64">
      <w:pPr>
        <w:rPr>
          <w:u w:val="single"/>
        </w:rPr>
      </w:pPr>
    </w:p>
    <w:p w:rsidR="00AD02F5" w:rsidRPr="00405717" w:rsidRDefault="00322624" w:rsidP="00B66CFF">
      <w:pPr>
        <w:spacing w:line="240" w:lineRule="auto"/>
        <w:ind w:left="720"/>
      </w:pPr>
      <w:r w:rsidRPr="00405717">
        <w:t xml:space="preserve">Bhattacharya, Jay, Timothy Hyde, &amp; Peter Tu, </w:t>
      </w:r>
      <w:r w:rsidRPr="00405717">
        <w:rPr>
          <w:i/>
        </w:rPr>
        <w:t>Health Economics</w:t>
      </w:r>
      <w:r w:rsidRPr="00405717">
        <w:t>. New York: Palgrave Macmillan, 2014.</w:t>
      </w:r>
      <w:r w:rsidR="00B66CFF" w:rsidRPr="00405717">
        <w:t xml:space="preserve">  </w:t>
      </w:r>
      <w:r w:rsidRPr="00405717">
        <w:t>Chapter 5, pages 92-93 only</w:t>
      </w:r>
    </w:p>
    <w:p w:rsidR="00AD02F5" w:rsidRPr="00405717" w:rsidRDefault="00AD02F5">
      <w:pPr>
        <w:pBdr>
          <w:top w:val="nil"/>
          <w:left w:val="nil"/>
          <w:bottom w:val="nil"/>
          <w:right w:val="nil"/>
          <w:between w:val="nil"/>
        </w:pBdr>
        <w:spacing w:line="240" w:lineRule="auto"/>
        <w:ind w:left="720" w:hanging="720"/>
        <w:rPr>
          <w:color w:val="000000"/>
        </w:rPr>
      </w:pPr>
    </w:p>
    <w:p w:rsidR="005D0B64" w:rsidRDefault="00322624" w:rsidP="00F2325D">
      <w:pPr>
        <w:pBdr>
          <w:top w:val="nil"/>
          <w:left w:val="nil"/>
          <w:bottom w:val="nil"/>
          <w:right w:val="nil"/>
          <w:between w:val="nil"/>
        </w:pBdr>
        <w:spacing w:line="240" w:lineRule="auto"/>
        <w:ind w:left="1440" w:hanging="720"/>
        <w:rPr>
          <w:i/>
          <w:color w:val="000000"/>
        </w:rPr>
      </w:pPr>
      <w:r w:rsidRPr="00405717">
        <w:rPr>
          <w:color w:val="000000"/>
        </w:rPr>
        <w:t xml:space="preserve">Christianson, Jon B., </w:t>
      </w:r>
      <w:r w:rsidRPr="00405717">
        <w:t>and</w:t>
      </w:r>
      <w:r w:rsidRPr="00405717">
        <w:rPr>
          <w:color w:val="000000"/>
        </w:rPr>
        <w:t xml:space="preserve"> Douglas Conrad</w:t>
      </w:r>
      <w:r w:rsidRPr="00405717">
        <w:t>.</w:t>
      </w:r>
      <w:r w:rsidRPr="00405717">
        <w:rPr>
          <w:color w:val="000000"/>
        </w:rPr>
        <w:t xml:space="preserve"> </w:t>
      </w:r>
      <w:r w:rsidRPr="00405717">
        <w:t>“</w:t>
      </w:r>
      <w:r w:rsidRPr="00405717">
        <w:rPr>
          <w:color w:val="000000"/>
        </w:rPr>
        <w:t>Provider payment and incentives.</w:t>
      </w:r>
      <w:r w:rsidRPr="00405717">
        <w:t>”</w:t>
      </w:r>
      <w:r w:rsidRPr="00405717">
        <w:rPr>
          <w:color w:val="000000"/>
        </w:rPr>
        <w:t xml:space="preserve"> In </w:t>
      </w:r>
      <w:r w:rsidR="005D0B64">
        <w:rPr>
          <w:i/>
          <w:color w:val="000000"/>
        </w:rPr>
        <w:t>Oxford</w:t>
      </w:r>
    </w:p>
    <w:p w:rsidR="005D0B64" w:rsidRDefault="00322624" w:rsidP="00F2325D">
      <w:pPr>
        <w:pBdr>
          <w:top w:val="nil"/>
          <w:left w:val="nil"/>
          <w:bottom w:val="nil"/>
          <w:right w:val="nil"/>
          <w:between w:val="nil"/>
        </w:pBdr>
        <w:spacing w:line="240" w:lineRule="auto"/>
        <w:ind w:left="1440" w:hanging="720"/>
      </w:pPr>
      <w:r w:rsidRPr="00405717">
        <w:rPr>
          <w:i/>
        </w:rPr>
        <w:t>H</w:t>
      </w:r>
      <w:r w:rsidRPr="00405717">
        <w:rPr>
          <w:i/>
          <w:color w:val="000000"/>
        </w:rPr>
        <w:t xml:space="preserve">andbook of </w:t>
      </w:r>
      <w:r w:rsidRPr="00405717">
        <w:rPr>
          <w:i/>
        </w:rPr>
        <w:t>H</w:t>
      </w:r>
      <w:r w:rsidRPr="00405717">
        <w:rPr>
          <w:i/>
          <w:color w:val="000000"/>
        </w:rPr>
        <w:t xml:space="preserve">ealth </w:t>
      </w:r>
      <w:r w:rsidRPr="00405717">
        <w:rPr>
          <w:i/>
        </w:rPr>
        <w:t>E</w:t>
      </w:r>
      <w:r w:rsidRPr="00405717">
        <w:rPr>
          <w:i/>
          <w:color w:val="000000"/>
        </w:rPr>
        <w:t>conomics</w:t>
      </w:r>
      <w:r w:rsidRPr="00405717">
        <w:rPr>
          <w:i/>
        </w:rPr>
        <w:t xml:space="preserve">, </w:t>
      </w:r>
      <w:r w:rsidRPr="00405717">
        <w:t xml:space="preserve">edited by Sherry </w:t>
      </w:r>
      <w:r w:rsidR="00E2431E" w:rsidRPr="00405717">
        <w:t>Glied</w:t>
      </w:r>
      <w:r w:rsidRPr="00405717">
        <w:t xml:space="preserve"> and Peter C. Smith.</w:t>
      </w:r>
      <w:r w:rsidRPr="00405717">
        <w:rPr>
          <w:color w:val="000000"/>
        </w:rPr>
        <w:t xml:space="preserve"> Oxford</w:t>
      </w:r>
      <w:r w:rsidR="005D0B64">
        <w:t>, UK:</w:t>
      </w:r>
    </w:p>
    <w:p w:rsidR="00AD02F5" w:rsidRPr="00405717" w:rsidRDefault="00322624" w:rsidP="00F2325D">
      <w:pPr>
        <w:pBdr>
          <w:top w:val="nil"/>
          <w:left w:val="nil"/>
          <w:bottom w:val="nil"/>
          <w:right w:val="nil"/>
          <w:between w:val="nil"/>
        </w:pBdr>
        <w:spacing w:line="240" w:lineRule="auto"/>
        <w:ind w:left="1440" w:hanging="720"/>
      </w:pPr>
      <w:r w:rsidRPr="00405717">
        <w:t xml:space="preserve">Oxford </w:t>
      </w:r>
      <w:r w:rsidRPr="00405717">
        <w:rPr>
          <w:color w:val="000000"/>
        </w:rPr>
        <w:t>University Press</w:t>
      </w:r>
      <w:r w:rsidRPr="00405717">
        <w:t xml:space="preserve">, </w:t>
      </w:r>
      <w:proofErr w:type="gramStart"/>
      <w:r w:rsidRPr="00405717">
        <w:t>2011.</w:t>
      </w:r>
      <w:r w:rsidR="00C4642D" w:rsidRPr="00405717">
        <w:t>(</w:t>
      </w:r>
      <w:proofErr w:type="gramEnd"/>
      <w:r w:rsidR="00C4642D" w:rsidRPr="00405717">
        <w:t>SKIM)</w:t>
      </w:r>
    </w:p>
    <w:p w:rsidR="00AD02F5" w:rsidRPr="00405717" w:rsidRDefault="00AD02F5" w:rsidP="00F2325D">
      <w:pPr>
        <w:pBdr>
          <w:top w:val="nil"/>
          <w:left w:val="nil"/>
          <w:bottom w:val="nil"/>
          <w:right w:val="nil"/>
          <w:between w:val="nil"/>
        </w:pBdr>
        <w:spacing w:line="240" w:lineRule="auto"/>
        <w:ind w:left="1440" w:hanging="720"/>
      </w:pPr>
    </w:p>
    <w:p w:rsidR="005D0B64" w:rsidRDefault="00322624" w:rsidP="00F2325D">
      <w:pPr>
        <w:pBdr>
          <w:top w:val="nil"/>
          <w:left w:val="nil"/>
          <w:bottom w:val="nil"/>
          <w:right w:val="nil"/>
          <w:between w:val="nil"/>
        </w:pBdr>
        <w:spacing w:line="240" w:lineRule="auto"/>
        <w:ind w:left="1440" w:hanging="720"/>
        <w:rPr>
          <w:color w:val="000000"/>
        </w:rPr>
      </w:pPr>
      <w:proofErr w:type="spellStart"/>
      <w:r w:rsidRPr="00405717">
        <w:rPr>
          <w:color w:val="000000"/>
        </w:rPr>
        <w:t>Mukamel</w:t>
      </w:r>
      <w:proofErr w:type="spellEnd"/>
      <w:r w:rsidRPr="00405717">
        <w:rPr>
          <w:color w:val="000000"/>
        </w:rPr>
        <w:t xml:space="preserve">, Dana B., Simon F. </w:t>
      </w:r>
      <w:proofErr w:type="spellStart"/>
      <w:r w:rsidRPr="00405717">
        <w:rPr>
          <w:color w:val="000000"/>
        </w:rPr>
        <w:t>Haeder</w:t>
      </w:r>
      <w:proofErr w:type="spellEnd"/>
      <w:r w:rsidRPr="00405717">
        <w:rPr>
          <w:color w:val="000000"/>
        </w:rPr>
        <w:t>, and D</w:t>
      </w:r>
      <w:r w:rsidRPr="00405717">
        <w:t xml:space="preserve">avid. L. </w:t>
      </w:r>
      <w:r w:rsidRPr="00405717">
        <w:rPr>
          <w:color w:val="000000"/>
        </w:rPr>
        <w:t xml:space="preserve">Weimer. </w:t>
      </w:r>
      <w:r w:rsidRPr="00405717">
        <w:t>“</w:t>
      </w:r>
      <w:r w:rsidR="005D0B64">
        <w:rPr>
          <w:color w:val="000000"/>
        </w:rPr>
        <w:t>Top-down and bottom-up</w:t>
      </w:r>
    </w:p>
    <w:p w:rsidR="005D0B64" w:rsidRDefault="00322624" w:rsidP="00F2325D">
      <w:pPr>
        <w:pBdr>
          <w:top w:val="nil"/>
          <w:left w:val="nil"/>
          <w:bottom w:val="nil"/>
          <w:right w:val="nil"/>
          <w:between w:val="nil"/>
        </w:pBdr>
        <w:spacing w:line="240" w:lineRule="auto"/>
        <w:ind w:left="1440" w:hanging="720"/>
        <w:rPr>
          <w:i/>
          <w:color w:val="000000"/>
        </w:rPr>
      </w:pPr>
      <w:r w:rsidRPr="00405717">
        <w:rPr>
          <w:color w:val="000000"/>
        </w:rPr>
        <w:t>approaches to health care quality: The impacts of regulation and report cards.</w:t>
      </w:r>
      <w:r w:rsidRPr="00405717">
        <w:t>”</w:t>
      </w:r>
      <w:r w:rsidRPr="00405717">
        <w:rPr>
          <w:color w:val="000000"/>
        </w:rPr>
        <w:t xml:space="preserve"> </w:t>
      </w:r>
      <w:r w:rsidR="005D0B64">
        <w:rPr>
          <w:i/>
          <w:color w:val="000000"/>
        </w:rPr>
        <w:t>Annual</w:t>
      </w:r>
    </w:p>
    <w:p w:rsidR="00AD02F5" w:rsidRPr="00405717" w:rsidRDefault="00322624" w:rsidP="00F2325D">
      <w:pPr>
        <w:pBdr>
          <w:top w:val="nil"/>
          <w:left w:val="nil"/>
          <w:bottom w:val="nil"/>
          <w:right w:val="nil"/>
          <w:between w:val="nil"/>
        </w:pBdr>
        <w:spacing w:line="240" w:lineRule="auto"/>
        <w:ind w:left="1440" w:hanging="720"/>
        <w:rPr>
          <w:color w:val="000000"/>
        </w:rPr>
      </w:pPr>
      <w:r w:rsidRPr="00405717">
        <w:rPr>
          <w:i/>
          <w:color w:val="000000"/>
        </w:rPr>
        <w:t>Review of Public Health</w:t>
      </w:r>
      <w:r w:rsidRPr="00405717">
        <w:rPr>
          <w:i/>
        </w:rPr>
        <w:t xml:space="preserve"> </w:t>
      </w:r>
      <w:r w:rsidRPr="00405717">
        <w:rPr>
          <w:color w:val="000000"/>
        </w:rPr>
        <w:t>35 (2014): 477-497.</w:t>
      </w:r>
    </w:p>
    <w:p w:rsidR="00C4642D" w:rsidRPr="00405717" w:rsidRDefault="00C4642D" w:rsidP="00F2325D">
      <w:pPr>
        <w:pBdr>
          <w:top w:val="nil"/>
          <w:left w:val="nil"/>
          <w:bottom w:val="nil"/>
          <w:right w:val="nil"/>
          <w:between w:val="nil"/>
        </w:pBdr>
        <w:spacing w:line="240" w:lineRule="auto"/>
        <w:ind w:left="1440" w:hanging="720"/>
        <w:rPr>
          <w:rFonts w:eastAsia="Times New Roman"/>
          <w:color w:val="000000"/>
          <w:sz w:val="24"/>
          <w:szCs w:val="24"/>
        </w:rPr>
      </w:pPr>
    </w:p>
    <w:p w:rsidR="005D0B64" w:rsidRDefault="005D0B64" w:rsidP="00F2325D">
      <w:pPr>
        <w:pBdr>
          <w:top w:val="nil"/>
          <w:left w:val="nil"/>
          <w:bottom w:val="nil"/>
          <w:right w:val="nil"/>
          <w:between w:val="nil"/>
        </w:pBdr>
        <w:spacing w:line="240" w:lineRule="auto"/>
        <w:ind w:left="1440" w:hanging="720"/>
        <w:rPr>
          <w:rFonts w:eastAsia="Times New Roman"/>
          <w:color w:val="000000"/>
          <w:sz w:val="24"/>
          <w:szCs w:val="24"/>
        </w:rPr>
      </w:pPr>
      <w:r>
        <w:rPr>
          <w:rFonts w:eastAsia="Times New Roman"/>
          <w:color w:val="000000"/>
          <w:sz w:val="24"/>
          <w:szCs w:val="24"/>
        </w:rPr>
        <w:t>Klein, Benjamin.  Brand Names.</w:t>
      </w:r>
    </w:p>
    <w:p w:rsidR="00C4642D" w:rsidRPr="00405717" w:rsidRDefault="00C4642D" w:rsidP="00F2325D">
      <w:pPr>
        <w:pBdr>
          <w:top w:val="nil"/>
          <w:left w:val="nil"/>
          <w:bottom w:val="nil"/>
          <w:right w:val="nil"/>
          <w:between w:val="nil"/>
        </w:pBdr>
        <w:spacing w:line="240" w:lineRule="auto"/>
        <w:ind w:left="1440" w:hanging="720"/>
        <w:rPr>
          <w:rFonts w:eastAsia="Times New Roman"/>
          <w:color w:val="000000"/>
          <w:sz w:val="24"/>
          <w:szCs w:val="24"/>
        </w:rPr>
      </w:pPr>
      <w:r w:rsidRPr="00405717">
        <w:rPr>
          <w:rFonts w:eastAsia="Times New Roman"/>
          <w:color w:val="000000"/>
          <w:sz w:val="24"/>
          <w:szCs w:val="24"/>
        </w:rPr>
        <w:t>https://www.econlib.org/library/Enc/BrandNames.html</w:t>
      </w:r>
    </w:p>
    <w:p w:rsidR="00B66CFF" w:rsidRPr="00405717" w:rsidRDefault="00B66CFF" w:rsidP="00F2325D">
      <w:pPr>
        <w:rPr>
          <w:bCs/>
        </w:rPr>
      </w:pPr>
    </w:p>
    <w:p w:rsidR="00B66CFF" w:rsidRPr="005D0B64" w:rsidRDefault="00B66CFF" w:rsidP="00F2325D">
      <w:pPr>
        <w:pStyle w:val="Index4"/>
        <w:spacing w:after="120"/>
        <w:ind w:left="720" w:firstLine="0"/>
        <w:rPr>
          <w:rFonts w:ascii="Arial" w:hAnsi="Arial" w:cs="Arial"/>
          <w:color w:val="000000"/>
          <w:szCs w:val="24"/>
          <w:lang w:val="en"/>
        </w:rPr>
      </w:pPr>
      <w:r w:rsidRPr="005D0B64">
        <w:rPr>
          <w:rFonts w:ascii="Arial" w:hAnsi="Arial" w:cs="Arial"/>
          <w:color w:val="000000"/>
          <w:szCs w:val="24"/>
          <w:lang w:val="en"/>
        </w:rPr>
        <w:t>Kessler, DP.  Evaluating the Medical Malpractice System and Options for Reform.  The Journal of Economic Perspectives, Vol. 25, No. 2 (Spring 2011), pp. 93-110</w:t>
      </w:r>
    </w:p>
    <w:p w:rsidR="00B66CFF" w:rsidRPr="005D0B64" w:rsidRDefault="00B66CFF" w:rsidP="00B66CFF">
      <w:pPr>
        <w:ind w:left="630"/>
        <w:rPr>
          <w:rFonts w:eastAsia="Times New Roman"/>
          <w:color w:val="000000"/>
          <w:sz w:val="24"/>
          <w:szCs w:val="24"/>
        </w:rPr>
      </w:pPr>
    </w:p>
    <w:p w:rsidR="00B66CFF" w:rsidRPr="00405717" w:rsidRDefault="00B66CFF" w:rsidP="00B66CFF">
      <w:pPr>
        <w:ind w:left="630"/>
        <w:jc w:val="both"/>
        <w:rPr>
          <w:color w:val="1F497D" w:themeColor="text2"/>
          <w:sz w:val="20"/>
          <w:szCs w:val="20"/>
          <w:shd w:val="clear" w:color="auto" w:fill="FFFFFF"/>
        </w:rPr>
      </w:pPr>
    </w:p>
    <w:p w:rsidR="00B66CFF" w:rsidRPr="00405717" w:rsidRDefault="00B66CFF" w:rsidP="00B66CFF">
      <w:pPr>
        <w:tabs>
          <w:tab w:val="left" w:pos="1960"/>
        </w:tabs>
        <w:rPr>
          <w:b/>
          <w:sz w:val="28"/>
          <w:szCs w:val="28"/>
        </w:rPr>
      </w:pPr>
      <w:r w:rsidRPr="00405717">
        <w:rPr>
          <w:b/>
          <w:sz w:val="28"/>
          <w:szCs w:val="28"/>
        </w:rPr>
        <w:t xml:space="preserve">Lecture 4:  </w:t>
      </w:r>
      <w:r w:rsidR="00B55851" w:rsidRPr="00405717">
        <w:rPr>
          <w:b/>
          <w:sz w:val="28"/>
          <w:szCs w:val="28"/>
        </w:rPr>
        <w:t>April 18, 2022-</w:t>
      </w:r>
      <w:r w:rsidRPr="00405717">
        <w:rPr>
          <w:b/>
          <w:sz w:val="28"/>
          <w:szCs w:val="28"/>
        </w:rPr>
        <w:t>Prescription Drugs</w:t>
      </w:r>
    </w:p>
    <w:p w:rsidR="00F80C0F" w:rsidRPr="00405717" w:rsidRDefault="00F80C0F" w:rsidP="00B66CFF">
      <w:pPr>
        <w:tabs>
          <w:tab w:val="left" w:pos="1960"/>
        </w:tabs>
        <w:rPr>
          <w:b/>
          <w:sz w:val="28"/>
          <w:szCs w:val="28"/>
        </w:rPr>
      </w:pPr>
    </w:p>
    <w:p w:rsidR="003C620F" w:rsidRDefault="003C620F" w:rsidP="00F80C0F">
      <w:pPr>
        <w:rPr>
          <w:u w:val="single"/>
        </w:rPr>
      </w:pPr>
      <w:r w:rsidRPr="00405717">
        <w:rPr>
          <w:u w:val="single"/>
        </w:rPr>
        <w:t>Resources</w:t>
      </w:r>
    </w:p>
    <w:p w:rsidR="005D0B64" w:rsidRPr="00405717" w:rsidRDefault="005D0B64" w:rsidP="00F80C0F">
      <w:pPr>
        <w:rPr>
          <w:u w:val="single"/>
        </w:rPr>
      </w:pPr>
    </w:p>
    <w:p w:rsidR="00B66CFF" w:rsidRPr="00405717" w:rsidRDefault="00F2325D" w:rsidP="00F80C0F">
      <w:pPr>
        <w:spacing w:line="240" w:lineRule="auto"/>
        <w:ind w:left="720"/>
      </w:pPr>
      <w:r w:rsidRPr="00405717">
        <w:t xml:space="preserve">Bhattacharya, Jay, Timothy Hyde, &amp; Peter Tu, Health Economics. New York: Palgrave Macmillan, 2014.  </w:t>
      </w:r>
      <w:r w:rsidR="00B66CFF" w:rsidRPr="00405717">
        <w:t>Chapter 12</w:t>
      </w:r>
    </w:p>
    <w:p w:rsidR="00B66CFF" w:rsidRPr="00405717" w:rsidRDefault="00B66CFF" w:rsidP="00F80C0F">
      <w:pPr>
        <w:spacing w:line="240" w:lineRule="auto"/>
        <w:ind w:left="720"/>
      </w:pPr>
    </w:p>
    <w:p w:rsidR="00B66CFF" w:rsidRPr="00405717" w:rsidRDefault="00B66CFF" w:rsidP="00F80C0F">
      <w:pPr>
        <w:spacing w:line="240" w:lineRule="auto"/>
        <w:ind w:left="720"/>
      </w:pPr>
      <w:proofErr w:type="spellStart"/>
      <w:r w:rsidRPr="00405717">
        <w:lastRenderedPageBreak/>
        <w:t>Lakdawalla</w:t>
      </w:r>
      <w:proofErr w:type="spellEnd"/>
      <w:r w:rsidRPr="00405717">
        <w:t xml:space="preserve">, DN, DP Goldman, PC Michaud, N </w:t>
      </w:r>
      <w:proofErr w:type="spellStart"/>
      <w:r w:rsidRPr="00405717">
        <w:t>Sood</w:t>
      </w:r>
      <w:proofErr w:type="spellEnd"/>
      <w:r w:rsidRPr="00405717">
        <w:t xml:space="preserve">, R </w:t>
      </w:r>
      <w:proofErr w:type="spellStart"/>
      <w:r w:rsidRPr="00405717">
        <w:t>Lempert</w:t>
      </w:r>
      <w:proofErr w:type="spellEnd"/>
      <w:r w:rsidRPr="00405717">
        <w:t xml:space="preserve">, Z Cong, H de Vries, I </w:t>
      </w:r>
      <w:proofErr w:type="spellStart"/>
      <w:r w:rsidRPr="00405717">
        <w:t>Guttierez</w:t>
      </w:r>
      <w:proofErr w:type="spellEnd"/>
      <w:r w:rsidRPr="00405717">
        <w:t xml:space="preserve">.  (2009) US Pharmaceutical Policy in a Global Marketplace.  Health Affairs 28: 1, w138-w150.  </w:t>
      </w:r>
    </w:p>
    <w:p w:rsidR="00B66CFF" w:rsidRPr="00405717" w:rsidRDefault="007C56F6" w:rsidP="00F80C0F">
      <w:pPr>
        <w:spacing w:line="240" w:lineRule="auto"/>
        <w:ind w:left="720"/>
      </w:pPr>
      <w:hyperlink r:id="rId17" w:history="1">
        <w:r w:rsidR="003C620F" w:rsidRPr="00405717">
          <w:t>http://content.healthaffairs.org/content/28/1/w138.full.pdf+html</w:t>
        </w:r>
      </w:hyperlink>
    </w:p>
    <w:p w:rsidR="00B66CFF" w:rsidRPr="00405717" w:rsidRDefault="00B66CFF" w:rsidP="00F80C0F">
      <w:pPr>
        <w:spacing w:line="240" w:lineRule="auto"/>
        <w:ind w:left="720"/>
      </w:pPr>
    </w:p>
    <w:p w:rsidR="00B66CFF" w:rsidRPr="00405717" w:rsidRDefault="00B66CFF" w:rsidP="00F80C0F">
      <w:pPr>
        <w:spacing w:line="240" w:lineRule="auto"/>
        <w:ind w:left="720"/>
      </w:pPr>
      <w:proofErr w:type="spellStart"/>
      <w:r w:rsidRPr="00405717">
        <w:t>Sertkaya</w:t>
      </w:r>
      <w:proofErr w:type="spellEnd"/>
      <w:r w:rsidRPr="00405717">
        <w:t xml:space="preserve"> et al. (2014)  </w:t>
      </w:r>
      <w:hyperlink r:id="rId18" w:history="1">
        <w:r w:rsidRPr="00405717">
          <w:t>http://aspe.hhs.gov/sp/reports/2014/ClinicalTrials/rpt_erg.pdf</w:t>
        </w:r>
      </w:hyperlink>
      <w:r w:rsidRPr="00405717">
        <w:t xml:space="preserve">  executive summary</w:t>
      </w:r>
    </w:p>
    <w:p w:rsidR="00B66CFF" w:rsidRPr="00405717" w:rsidRDefault="00B66CFF" w:rsidP="00F80C0F">
      <w:pPr>
        <w:spacing w:line="240" w:lineRule="auto"/>
        <w:ind w:left="720"/>
      </w:pPr>
    </w:p>
    <w:p w:rsidR="00B66CFF" w:rsidRPr="00405717" w:rsidRDefault="00B66CFF" w:rsidP="00F80C0F">
      <w:pPr>
        <w:spacing w:line="240" w:lineRule="auto"/>
        <w:ind w:left="720"/>
      </w:pPr>
      <w:r w:rsidRPr="00405717">
        <w:t xml:space="preserve">Grabowski, Henry G., Joseph A. </w:t>
      </w:r>
      <w:proofErr w:type="spellStart"/>
      <w:r w:rsidRPr="00405717">
        <w:t>DiMasi</w:t>
      </w:r>
      <w:proofErr w:type="spellEnd"/>
      <w:r w:rsidRPr="00405717">
        <w:t>, and Genia Long. "The roles of patents and research and development incentives in biopharmaceutical innovation." Health Affairs 34, no. 2 (2015): 302-310.</w:t>
      </w:r>
    </w:p>
    <w:p w:rsidR="00B66CFF" w:rsidRPr="00405717" w:rsidRDefault="00B66CFF" w:rsidP="00F80C0F">
      <w:pPr>
        <w:spacing w:line="240" w:lineRule="auto"/>
        <w:ind w:left="720"/>
      </w:pPr>
    </w:p>
    <w:p w:rsidR="00B66CFF" w:rsidRPr="00405717" w:rsidRDefault="00B66CFF" w:rsidP="00F80C0F">
      <w:pPr>
        <w:spacing w:line="240" w:lineRule="auto"/>
        <w:ind w:left="720"/>
      </w:pPr>
      <w:r w:rsidRPr="00405717">
        <w:t xml:space="preserve">Dubois, Pierre, Olivier De </w:t>
      </w:r>
      <w:proofErr w:type="spellStart"/>
      <w:r w:rsidRPr="00405717">
        <w:t>Mouzon</w:t>
      </w:r>
      <w:proofErr w:type="spellEnd"/>
      <w:r w:rsidRPr="00405717">
        <w:t>, Fiona Scott</w:t>
      </w:r>
      <w:r w:rsidRPr="00405717">
        <w:rPr>
          <w:rFonts w:ascii="Cambria Math" w:hAnsi="Cambria Math" w:cs="Cambria Math"/>
        </w:rPr>
        <w:t>‐</w:t>
      </w:r>
      <w:r w:rsidRPr="00405717">
        <w:t xml:space="preserve">Morton, and Paul Seabright. "Market size and pharmaceutical innovation." The RAND Journal of Economics 46, no. 4 (2015): 844-848.  </w:t>
      </w:r>
      <w:hyperlink r:id="rId19" w:history="1">
        <w:r w:rsidRPr="00405717">
          <w:t>https://onlinelibrary.wiley.com/doi/epdf/10.1111/1756-2171.12113</w:t>
        </w:r>
      </w:hyperlink>
    </w:p>
    <w:p w:rsidR="00B66CFF" w:rsidRPr="00405717" w:rsidRDefault="00B66CFF" w:rsidP="00B66CFF">
      <w:pPr>
        <w:jc w:val="both"/>
        <w:rPr>
          <w:color w:val="1F497D" w:themeColor="text2"/>
        </w:rPr>
      </w:pPr>
    </w:p>
    <w:p w:rsidR="00B66CFF" w:rsidRPr="00405717" w:rsidRDefault="00B66CFF" w:rsidP="00BC33DA"/>
    <w:p w:rsidR="00BC33DA" w:rsidRPr="00405717" w:rsidRDefault="00BC33DA" w:rsidP="00BC33DA">
      <w:pPr>
        <w:jc w:val="both"/>
      </w:pPr>
      <w:r w:rsidRPr="00405717">
        <w:rPr>
          <w:u w:val="single"/>
        </w:rPr>
        <w:t>Assignment 2:</w:t>
      </w:r>
      <w:r w:rsidRPr="00405717">
        <w:t xml:space="preserve">  Joseph Stiglitz recommends that, at least in some cases, we should move from patents to prizes.  Using the theories and evidence from class, and the information in the Bain and Co. study to discuss whether you might (or might not) want to use a prize instead of a patent for a Covid-19 vaccine or a Covid-19 treatment.  </w:t>
      </w:r>
      <w:r w:rsidR="00544A78" w:rsidRPr="00405717">
        <w:t xml:space="preserve">Due before </w:t>
      </w:r>
      <w:r w:rsidR="00F3098E" w:rsidRPr="00405717">
        <w:t>Lecture</w:t>
      </w:r>
      <w:r w:rsidR="00544A78" w:rsidRPr="00405717">
        <w:t xml:space="preserve"> 5.</w:t>
      </w:r>
    </w:p>
    <w:p w:rsidR="00BC33DA" w:rsidRPr="00405717" w:rsidRDefault="00BC33DA" w:rsidP="00BC33DA">
      <w:pPr>
        <w:jc w:val="both"/>
      </w:pPr>
      <w:r w:rsidRPr="00405717">
        <w:t xml:space="preserve">FDA – Joseph E. Stiglitz, “Prizes, Not Patents”, PAECON. net, issue no. 42, 18 May 2007, pp. 48-49, </w:t>
      </w:r>
      <w:hyperlink r:id="rId20" w:history="1">
        <w:r w:rsidRPr="00405717">
          <w:rPr>
            <w:rStyle w:val="Hyperlink"/>
            <w:color w:val="auto"/>
          </w:rPr>
          <w:t>http://www.paecon.net/PAEReview/issue42/Stiglitz42.pdf</w:t>
        </w:r>
      </w:hyperlink>
    </w:p>
    <w:p w:rsidR="00BC33DA" w:rsidRPr="00405717" w:rsidRDefault="00BC33DA" w:rsidP="00BC33DA">
      <w:pPr>
        <w:jc w:val="both"/>
      </w:pPr>
      <w:r w:rsidRPr="00405717">
        <w:t xml:space="preserve">Bain and Co.  </w:t>
      </w:r>
      <w:hyperlink r:id="rId21" w:history="1">
        <w:r w:rsidRPr="00405717">
          <w:rPr>
            <w:rStyle w:val="Hyperlink"/>
            <w:color w:val="auto"/>
          </w:rPr>
          <w:t>http://www.bain.com/Images/BAIN_BRIEF_A_new_pharma_launch_paradigm.pdf</w:t>
        </w:r>
      </w:hyperlink>
    </w:p>
    <w:p w:rsidR="00BC33DA" w:rsidRPr="00405717" w:rsidRDefault="00BC33DA" w:rsidP="00BC33DA"/>
    <w:p w:rsidR="0067484F" w:rsidRPr="00405717" w:rsidRDefault="0067484F" w:rsidP="0067484F">
      <w:pPr>
        <w:pStyle w:val="Heading3"/>
        <w:rPr>
          <w:b/>
          <w:color w:val="000000"/>
        </w:rPr>
      </w:pPr>
      <w:r w:rsidRPr="00405717">
        <w:rPr>
          <w:b/>
        </w:rPr>
        <w:t xml:space="preserve">Lecture 5:  </w:t>
      </w:r>
      <w:r w:rsidR="00B55851" w:rsidRPr="00405717">
        <w:rPr>
          <w:b/>
        </w:rPr>
        <w:t>April 25, 2022-</w:t>
      </w:r>
      <w:r w:rsidRPr="00405717">
        <w:rPr>
          <w:b/>
          <w:color w:val="000000"/>
        </w:rPr>
        <w:t>Health Care Professionals</w:t>
      </w:r>
    </w:p>
    <w:p w:rsidR="0067484F" w:rsidRPr="00405717" w:rsidRDefault="0067484F" w:rsidP="0067484F">
      <w:pPr>
        <w:rPr>
          <w:u w:val="single"/>
        </w:rPr>
      </w:pPr>
    </w:p>
    <w:p w:rsidR="0067484F" w:rsidRDefault="0067484F" w:rsidP="0067484F">
      <w:pPr>
        <w:rPr>
          <w:u w:val="single"/>
        </w:rPr>
      </w:pPr>
      <w:r w:rsidRPr="00405717">
        <w:rPr>
          <w:u w:val="single"/>
        </w:rPr>
        <w:t>Resources</w:t>
      </w:r>
    </w:p>
    <w:p w:rsidR="005D0B64" w:rsidRPr="00405717" w:rsidRDefault="005D0B64" w:rsidP="0067484F">
      <w:pPr>
        <w:rPr>
          <w:u w:val="single"/>
        </w:rPr>
      </w:pPr>
    </w:p>
    <w:p w:rsidR="0067484F" w:rsidRPr="00405717" w:rsidRDefault="0067484F" w:rsidP="00F80C0F">
      <w:pPr>
        <w:ind w:left="720"/>
      </w:pPr>
      <w:r w:rsidRPr="00405717">
        <w:t xml:space="preserve">Bhattacharya, Jay, Timothy Hyde, &amp; Peter Tu, </w:t>
      </w:r>
      <w:r w:rsidRPr="00405717">
        <w:rPr>
          <w:i/>
        </w:rPr>
        <w:t>Health Economics</w:t>
      </w:r>
      <w:r w:rsidRPr="00405717">
        <w:t xml:space="preserve">. New York: Palgrave Macmillan, 2014.  </w:t>
      </w:r>
      <w:r w:rsidRPr="00405717">
        <w:rPr>
          <w:color w:val="000000"/>
        </w:rPr>
        <w:t>Chapter 5, pages 83-88 only</w:t>
      </w:r>
    </w:p>
    <w:p w:rsidR="0067484F" w:rsidRPr="00405717" w:rsidRDefault="0067484F" w:rsidP="00F80C0F">
      <w:pPr>
        <w:ind w:left="720"/>
      </w:pPr>
    </w:p>
    <w:p w:rsidR="0067484F" w:rsidRPr="00405717" w:rsidRDefault="0067484F" w:rsidP="00F80C0F">
      <w:pPr>
        <w:ind w:left="720"/>
        <w:rPr>
          <w:szCs w:val="24"/>
        </w:rPr>
      </w:pPr>
      <w:proofErr w:type="spellStart"/>
      <w:r w:rsidRPr="00405717">
        <w:rPr>
          <w:szCs w:val="24"/>
        </w:rPr>
        <w:t>Glied</w:t>
      </w:r>
      <w:proofErr w:type="spellEnd"/>
      <w:r w:rsidRPr="00405717">
        <w:rPr>
          <w:szCs w:val="24"/>
        </w:rPr>
        <w:t xml:space="preserve">, Sherry, Ashwin </w:t>
      </w:r>
      <w:proofErr w:type="spellStart"/>
      <w:r w:rsidRPr="00405717">
        <w:rPr>
          <w:szCs w:val="24"/>
        </w:rPr>
        <w:t>Prabhu</w:t>
      </w:r>
      <w:proofErr w:type="spellEnd"/>
      <w:r w:rsidRPr="00405717">
        <w:rPr>
          <w:szCs w:val="24"/>
        </w:rPr>
        <w:t>, and Norman Edelman.  “The Cost of Primary Care Doctors</w:t>
      </w:r>
      <w:r w:rsidRPr="00405717">
        <w:rPr>
          <w:b/>
          <w:bCs/>
          <w:szCs w:val="24"/>
        </w:rPr>
        <w:t xml:space="preserve">.” </w:t>
      </w:r>
      <w:r w:rsidRPr="00405717">
        <w:rPr>
          <w:i/>
          <w:iCs/>
          <w:szCs w:val="24"/>
        </w:rPr>
        <w:t>Frontiers in Health Policy Research,</w:t>
      </w:r>
      <w:r w:rsidRPr="00405717">
        <w:rPr>
          <w:iCs/>
          <w:szCs w:val="24"/>
        </w:rPr>
        <w:t xml:space="preserve"> </w:t>
      </w:r>
      <w:hyperlink r:id="rId22" w:history="1">
        <w:r w:rsidRPr="00405717">
          <w:rPr>
            <w:rStyle w:val="Hyperlink"/>
            <w:iCs/>
            <w:szCs w:val="24"/>
          </w:rPr>
          <w:t>http://www.degruyter.com/view/j/fhep.2009.12.1/fhep.2009.12.1.1140/fhep.2009.12.1.1140.xml</w:t>
        </w:r>
      </w:hyperlink>
      <w:r w:rsidRPr="00405717">
        <w:rPr>
          <w:iCs/>
          <w:szCs w:val="24"/>
        </w:rPr>
        <w:t>.</w:t>
      </w:r>
    </w:p>
    <w:p w:rsidR="0067484F" w:rsidRPr="00405717" w:rsidRDefault="0067484F" w:rsidP="00F80C0F">
      <w:pPr>
        <w:ind w:left="720"/>
        <w:rPr>
          <w:color w:val="000000"/>
          <w:szCs w:val="24"/>
        </w:rPr>
      </w:pPr>
      <w:r w:rsidRPr="00405717">
        <w:t xml:space="preserve">Gross, Tal, &amp; Miriam J. </w:t>
      </w:r>
      <w:proofErr w:type="spellStart"/>
      <w:r w:rsidRPr="00405717">
        <w:t>Laugesen</w:t>
      </w:r>
      <w:proofErr w:type="spellEnd"/>
      <w:r w:rsidRPr="00405717">
        <w:t xml:space="preserve">. “The Price of Health Care: Why is the United States an Outlier?” </w:t>
      </w:r>
      <w:r w:rsidRPr="00405717">
        <w:rPr>
          <w:i/>
        </w:rPr>
        <w:t>Journal of Health Politics, Policy, and Law,</w:t>
      </w:r>
      <w:r w:rsidRPr="00405717">
        <w:t xml:space="preserve"> 43, no. 5 (2018): 775-778 only. </w:t>
      </w:r>
    </w:p>
    <w:p w:rsidR="0067484F" w:rsidRPr="00405717" w:rsidRDefault="0067484F" w:rsidP="00F80C0F">
      <w:pPr>
        <w:ind w:left="720"/>
      </w:pPr>
    </w:p>
    <w:p w:rsidR="0067484F" w:rsidRPr="00405717" w:rsidRDefault="0067484F" w:rsidP="00F80C0F">
      <w:pPr>
        <w:ind w:left="720"/>
      </w:pPr>
      <w:r w:rsidRPr="00405717">
        <w:t xml:space="preserve">Ketel, Nadine, Edwin Leuven, Hessel </w:t>
      </w:r>
      <w:proofErr w:type="spellStart"/>
      <w:r w:rsidRPr="00405717">
        <w:t>Oosterbeek</w:t>
      </w:r>
      <w:proofErr w:type="spellEnd"/>
      <w:r w:rsidRPr="00405717">
        <w:t xml:space="preserve">, and Bas van der </w:t>
      </w:r>
      <w:proofErr w:type="spellStart"/>
      <w:r w:rsidRPr="00405717">
        <w:t>Klaauw</w:t>
      </w:r>
      <w:proofErr w:type="spellEnd"/>
      <w:r w:rsidRPr="00405717">
        <w:t xml:space="preserve">. “The Returns to Medical School: Evidence from Admission Lotteries.” </w:t>
      </w:r>
      <w:r w:rsidRPr="00405717">
        <w:rPr>
          <w:i/>
        </w:rPr>
        <w:t>American Economic Journal: Applied Economics</w:t>
      </w:r>
      <w:r w:rsidRPr="00405717">
        <w:t>, 8, no. 2 (2016): 225-232, conclusion, and figures only.</w:t>
      </w:r>
    </w:p>
    <w:p w:rsidR="0067484F" w:rsidRPr="00405717" w:rsidRDefault="0067484F" w:rsidP="00F80C0F">
      <w:pPr>
        <w:ind w:left="720"/>
      </w:pPr>
    </w:p>
    <w:p w:rsidR="00F80C0F" w:rsidRPr="00405717" w:rsidRDefault="0067484F" w:rsidP="00F80C0F">
      <w:pPr>
        <w:ind w:left="720"/>
      </w:pPr>
      <w:r w:rsidRPr="00405717">
        <w:rPr>
          <w:color w:val="000000"/>
        </w:rPr>
        <w:lastRenderedPageBreak/>
        <w:t xml:space="preserve">Kravitz, Richard </w:t>
      </w:r>
      <w:proofErr w:type="gramStart"/>
      <w:r w:rsidRPr="00405717">
        <w:rPr>
          <w:color w:val="000000"/>
        </w:rPr>
        <w:t>L..</w:t>
      </w:r>
      <w:proofErr w:type="gramEnd"/>
      <w:r w:rsidRPr="00405717">
        <w:rPr>
          <w:color w:val="000000"/>
        </w:rPr>
        <w:t xml:space="preserve"> “Physician Incomes in the Twenty-First Century: Time for a New Social Contract.” </w:t>
      </w:r>
      <w:r w:rsidRPr="00405717">
        <w:rPr>
          <w:i/>
          <w:iCs/>
          <w:color w:val="000000"/>
        </w:rPr>
        <w:t>Journal of General Internal Medicine</w:t>
      </w:r>
      <w:r w:rsidRPr="00405717">
        <w:rPr>
          <w:color w:val="000000"/>
        </w:rPr>
        <w:t xml:space="preserve">, 29, (2014): 1425-1426.  </w:t>
      </w:r>
      <w:hyperlink r:id="rId23" w:history="1">
        <w:r w:rsidRPr="00405717">
          <w:rPr>
            <w:rStyle w:val="Hyperlink"/>
            <w:color w:val="1155CC"/>
          </w:rPr>
          <w:t>https://link.springer.com/article/10.1007%2Fs11606-014-3012-9</w:t>
        </w:r>
      </w:hyperlink>
      <w:r w:rsidRPr="00405717">
        <w:tab/>
      </w:r>
    </w:p>
    <w:p w:rsidR="005D0B64" w:rsidRDefault="005D0B64" w:rsidP="005D0B64"/>
    <w:p w:rsidR="0067484F" w:rsidRPr="00405717" w:rsidRDefault="0067484F" w:rsidP="005D0B64">
      <w:pPr>
        <w:ind w:left="720"/>
      </w:pPr>
      <w:r w:rsidRPr="00405717">
        <w:rPr>
          <w:color w:val="000000"/>
        </w:rPr>
        <w:t xml:space="preserve">Goldin, Claudia, and Lawrence F. Katz. “The Cost of Workplace Flexibility for High-Powered Professionals.” </w:t>
      </w:r>
      <w:r w:rsidRPr="00405717">
        <w:rPr>
          <w:i/>
          <w:iCs/>
          <w:color w:val="000000"/>
        </w:rPr>
        <w:t>The ANNALS of the American Academy of Political and Social Science</w:t>
      </w:r>
      <w:r w:rsidRPr="00405717">
        <w:rPr>
          <w:color w:val="000000"/>
        </w:rPr>
        <w:t xml:space="preserve">, 638 (2011), 45-67.  </w:t>
      </w:r>
      <w:hyperlink r:id="rId24" w:history="1">
        <w:r w:rsidRPr="00405717">
          <w:rPr>
            <w:rStyle w:val="Hyperlink"/>
          </w:rPr>
          <w:t>https://scholar.harvard.edu/files/goldin/files/the_cost_of_workplace_flexibility_for_high-powered_professionals.pdf</w:t>
        </w:r>
      </w:hyperlink>
    </w:p>
    <w:p w:rsidR="0067484F" w:rsidRPr="00405717" w:rsidRDefault="0067484F" w:rsidP="00B5124E">
      <w:pPr>
        <w:pStyle w:val="NormalWeb"/>
        <w:spacing w:before="0" w:beforeAutospacing="0" w:after="0" w:afterAutospacing="0"/>
        <w:rPr>
          <w:rFonts w:ascii="Arial" w:hAnsi="Arial" w:cs="Arial"/>
        </w:rPr>
      </w:pPr>
    </w:p>
    <w:p w:rsidR="0067484F" w:rsidRPr="00405717" w:rsidRDefault="0067484F" w:rsidP="0067484F">
      <w:pPr>
        <w:ind w:left="720" w:hanging="720"/>
      </w:pPr>
    </w:p>
    <w:p w:rsidR="00B66CFF" w:rsidRPr="00405717" w:rsidRDefault="00B66CFF">
      <w:pPr>
        <w:rPr>
          <w:b/>
          <w:sz w:val="28"/>
          <w:szCs w:val="28"/>
        </w:rPr>
      </w:pPr>
      <w:r w:rsidRPr="00405717">
        <w:rPr>
          <w:b/>
          <w:sz w:val="28"/>
          <w:szCs w:val="28"/>
        </w:rPr>
        <w:t xml:space="preserve">Lecture 6:  </w:t>
      </w:r>
      <w:r w:rsidR="00B55851" w:rsidRPr="00405717">
        <w:rPr>
          <w:b/>
          <w:sz w:val="28"/>
          <w:szCs w:val="28"/>
        </w:rPr>
        <w:t>May 2, 2022-</w:t>
      </w:r>
      <w:r w:rsidRPr="00405717">
        <w:rPr>
          <w:b/>
          <w:sz w:val="28"/>
          <w:szCs w:val="28"/>
        </w:rPr>
        <w:t>Costs and Equity</w:t>
      </w:r>
    </w:p>
    <w:p w:rsidR="003C620F" w:rsidRPr="00405717" w:rsidRDefault="003C620F" w:rsidP="003C620F">
      <w:pPr>
        <w:rPr>
          <w:u w:val="single"/>
        </w:rPr>
      </w:pPr>
    </w:p>
    <w:p w:rsidR="003C620F" w:rsidRDefault="003C620F" w:rsidP="003C620F">
      <w:pPr>
        <w:rPr>
          <w:u w:val="single"/>
        </w:rPr>
      </w:pPr>
      <w:r w:rsidRPr="00405717">
        <w:rPr>
          <w:u w:val="single"/>
        </w:rPr>
        <w:t>Resources</w:t>
      </w:r>
    </w:p>
    <w:p w:rsidR="005D0B64" w:rsidRPr="00405717" w:rsidRDefault="005D0B64" w:rsidP="003C620F">
      <w:pPr>
        <w:rPr>
          <w:u w:val="single"/>
        </w:rPr>
      </w:pPr>
    </w:p>
    <w:p w:rsidR="003C620F" w:rsidRPr="00405717" w:rsidRDefault="00F2325D" w:rsidP="00F80C0F">
      <w:pPr>
        <w:ind w:left="720"/>
        <w:rPr>
          <w:rFonts w:eastAsia="Times New Roman"/>
          <w:color w:val="000000"/>
          <w:sz w:val="24"/>
          <w:szCs w:val="24"/>
        </w:rPr>
      </w:pPr>
      <w:r w:rsidRPr="00405717">
        <w:t xml:space="preserve">Bhattacharya, Jay, Timothy Hyde, &amp; Peter Tu, </w:t>
      </w:r>
      <w:r w:rsidRPr="00405717">
        <w:rPr>
          <w:i/>
        </w:rPr>
        <w:t>Health Economics</w:t>
      </w:r>
      <w:r w:rsidRPr="00405717">
        <w:t>. New York: Palgrave Macmillan, 2014</w:t>
      </w:r>
      <w:r w:rsidR="003C620F" w:rsidRPr="00405717">
        <w:rPr>
          <w:color w:val="000000"/>
        </w:rPr>
        <w:t>, Chapter 13</w:t>
      </w:r>
    </w:p>
    <w:p w:rsidR="003C620F" w:rsidRPr="00405717" w:rsidRDefault="003C620F" w:rsidP="00F80C0F">
      <w:pPr>
        <w:ind w:left="720"/>
      </w:pPr>
    </w:p>
    <w:p w:rsidR="00F80C0F" w:rsidRPr="00405717" w:rsidRDefault="003C620F" w:rsidP="00F80C0F">
      <w:pPr>
        <w:ind w:left="720"/>
        <w:rPr>
          <w:color w:val="000000"/>
        </w:rPr>
      </w:pPr>
      <w:r w:rsidRPr="00405717">
        <w:rPr>
          <w:color w:val="000000"/>
        </w:rPr>
        <w:t>Chandra, A., &amp; Skinner, J. (2012). Technology growth a</w:t>
      </w:r>
      <w:r w:rsidR="00F80C0F" w:rsidRPr="00405717">
        <w:rPr>
          <w:color w:val="000000"/>
        </w:rPr>
        <w:t>nd expenditure growth in health</w:t>
      </w:r>
    </w:p>
    <w:p w:rsidR="00F80C0F" w:rsidRPr="00405717" w:rsidRDefault="003C620F" w:rsidP="00F80C0F">
      <w:pPr>
        <w:ind w:left="720"/>
        <w:rPr>
          <w:color w:val="000000"/>
        </w:rPr>
      </w:pPr>
      <w:r w:rsidRPr="00405717">
        <w:rPr>
          <w:color w:val="000000"/>
        </w:rPr>
        <w:t xml:space="preserve">care.  </w:t>
      </w:r>
      <w:r w:rsidRPr="00405717">
        <w:rPr>
          <w:i/>
          <w:color w:val="000000"/>
        </w:rPr>
        <w:t>Journal of Economic Literature, 50</w:t>
      </w:r>
      <w:r w:rsidRPr="00405717">
        <w:rPr>
          <w:color w:val="000000"/>
        </w:rPr>
        <w:t xml:space="preserve">(3), 645–680.  </w:t>
      </w:r>
      <w:r w:rsidR="00F80C0F" w:rsidRPr="00405717">
        <w:rPr>
          <w:color w:val="000000"/>
        </w:rPr>
        <w:t>Read only p.645-650, bottom of</w:t>
      </w:r>
    </w:p>
    <w:p w:rsidR="003C620F" w:rsidRPr="00405717" w:rsidRDefault="003C620F" w:rsidP="00F80C0F">
      <w:pPr>
        <w:ind w:left="720"/>
        <w:rPr>
          <w:rFonts w:eastAsia="Times New Roman"/>
          <w:color w:val="000000"/>
          <w:sz w:val="24"/>
          <w:szCs w:val="24"/>
        </w:rPr>
      </w:pPr>
      <w:r w:rsidRPr="00405717">
        <w:rPr>
          <w:color w:val="000000"/>
        </w:rPr>
        <w:t>661-675.</w:t>
      </w:r>
    </w:p>
    <w:p w:rsidR="003C620F" w:rsidRPr="00405717" w:rsidRDefault="003C620F" w:rsidP="00F80C0F">
      <w:pPr>
        <w:ind w:left="720"/>
      </w:pPr>
    </w:p>
    <w:p w:rsidR="003C620F" w:rsidRPr="00405717" w:rsidRDefault="003C620F" w:rsidP="00F80C0F">
      <w:pPr>
        <w:ind w:left="720"/>
        <w:rPr>
          <w:color w:val="000000"/>
        </w:rPr>
      </w:pPr>
      <w:r w:rsidRPr="00405717">
        <w:rPr>
          <w:color w:val="000000"/>
        </w:rPr>
        <w:t xml:space="preserve">White, C. (2013). Contrary to cost-shift theory, lower Medicare hospital payment rates for inpatient care lead to lower private payment rates. </w:t>
      </w:r>
      <w:r w:rsidRPr="00405717">
        <w:rPr>
          <w:i/>
          <w:color w:val="000000"/>
        </w:rPr>
        <w:t>Health Affairs, 32</w:t>
      </w:r>
      <w:r w:rsidRPr="00405717">
        <w:rPr>
          <w:color w:val="000000"/>
        </w:rPr>
        <w:t xml:space="preserve">(5), 935-943. </w:t>
      </w:r>
    </w:p>
    <w:p w:rsidR="00B66CFF" w:rsidRPr="00405717" w:rsidRDefault="00B66CFF" w:rsidP="00F80C0F">
      <w:pPr>
        <w:ind w:left="720"/>
      </w:pPr>
    </w:p>
    <w:p w:rsidR="003C620F" w:rsidRPr="00405717" w:rsidRDefault="003C620F" w:rsidP="00F80C0F">
      <w:pPr>
        <w:ind w:left="720"/>
        <w:rPr>
          <w:rFonts w:eastAsiaTheme="minorHAnsi"/>
          <w:color w:val="1F497D" w:themeColor="text2"/>
        </w:rPr>
      </w:pPr>
      <w:proofErr w:type="spellStart"/>
      <w:r w:rsidRPr="00405717">
        <w:rPr>
          <w:rFonts w:eastAsiaTheme="minorHAnsi"/>
          <w:color w:val="1F497D" w:themeColor="text2"/>
        </w:rPr>
        <w:t>Geruso</w:t>
      </w:r>
      <w:proofErr w:type="spellEnd"/>
      <w:r w:rsidRPr="00405717">
        <w:rPr>
          <w:rFonts w:eastAsiaTheme="minorHAnsi"/>
          <w:color w:val="1F497D" w:themeColor="text2"/>
        </w:rPr>
        <w:t xml:space="preserve">, M. and T. Layton.  Upcoding:  Evidence from Medicare on Squishy Risk Adjustment.  </w:t>
      </w:r>
      <w:hyperlink r:id="rId25" w:history="1">
        <w:r w:rsidRPr="00405717">
          <w:rPr>
            <w:rStyle w:val="Hyperlink"/>
            <w:rFonts w:eastAsiaTheme="minorHAnsi"/>
            <w:color w:val="1F497D" w:themeColor="text2"/>
          </w:rPr>
          <w:t>http://www.nber.org/papers/w21222</w:t>
        </w:r>
      </w:hyperlink>
      <w:r w:rsidRPr="00405717">
        <w:rPr>
          <w:rFonts w:eastAsiaTheme="minorHAnsi"/>
          <w:color w:val="1F497D" w:themeColor="text2"/>
        </w:rPr>
        <w:t xml:space="preserve">  Sections 1 and 8 only</w:t>
      </w:r>
    </w:p>
    <w:p w:rsidR="003C620F" w:rsidRPr="00405717" w:rsidRDefault="003C620F" w:rsidP="00F80C0F">
      <w:pPr>
        <w:ind w:left="720"/>
        <w:rPr>
          <w:color w:val="1F497D" w:themeColor="text2"/>
          <w:shd w:val="clear" w:color="auto" w:fill="FFFFFF"/>
        </w:rPr>
      </w:pPr>
    </w:p>
    <w:p w:rsidR="003C620F" w:rsidRPr="00405717" w:rsidRDefault="003C620F" w:rsidP="00F80C0F">
      <w:pPr>
        <w:ind w:left="720"/>
      </w:pPr>
      <w:r w:rsidRPr="00405717">
        <w:t>Glied, S.  (2020</w:t>
      </w:r>
      <w:proofErr w:type="gramStart"/>
      <w:r w:rsidRPr="00405717">
        <w:t>)  Competition</w:t>
      </w:r>
      <w:proofErr w:type="gramEnd"/>
      <w:r w:rsidRPr="00405717">
        <w:t xml:space="preserve"> in Health Care Markets (to be circulated).</w:t>
      </w:r>
    </w:p>
    <w:p w:rsidR="003C620F" w:rsidRDefault="003C620F" w:rsidP="00F2325D">
      <w:pPr>
        <w:ind w:left="720"/>
      </w:pPr>
    </w:p>
    <w:p w:rsidR="005D0B64" w:rsidRPr="00405717" w:rsidRDefault="005D0B64" w:rsidP="00F2325D">
      <w:pPr>
        <w:ind w:left="720"/>
      </w:pPr>
    </w:p>
    <w:p w:rsidR="00F3098E" w:rsidRPr="00405717" w:rsidRDefault="008403EF" w:rsidP="00F3098E">
      <w:pPr>
        <w:jc w:val="both"/>
        <w:rPr>
          <w:color w:val="1F497D" w:themeColor="text2"/>
        </w:rPr>
      </w:pPr>
      <w:r w:rsidRPr="00405717">
        <w:rPr>
          <w:u w:val="single"/>
        </w:rPr>
        <w:t>Assignment 3:</w:t>
      </w:r>
      <w:r w:rsidRPr="00405717">
        <w:t xml:space="preserve"> </w:t>
      </w:r>
      <w:r w:rsidR="00322624" w:rsidRPr="00405717">
        <w:t xml:space="preserve"> Select a disparity in health outcomes using the spotlights or data at </w:t>
      </w:r>
      <w:hyperlink r:id="rId26" w:history="1">
        <w:r w:rsidR="00322624" w:rsidRPr="00405717">
          <w:rPr>
            <w:rStyle w:val="Hyperlink"/>
          </w:rPr>
          <w:t>https://www.ahrq.gov/research/findings/nhqrdr/index.html</w:t>
        </w:r>
      </w:hyperlink>
      <w:r w:rsidR="00322624" w:rsidRPr="00405717">
        <w:t>.  Explain whether the problem is related to the Chandra/Skinner hypothesis about expenditure growth and analyze a potential solution using the discussions in the readings.  Use at least one piece of empirical evidence from AHRQ to buttress your argument.</w:t>
      </w:r>
      <w:r w:rsidR="00F3098E" w:rsidRPr="00405717">
        <w:t xml:space="preserve"> </w:t>
      </w:r>
      <w:r w:rsidR="00F3098E" w:rsidRPr="00405717">
        <w:rPr>
          <w:color w:val="000000" w:themeColor="text1"/>
        </w:rPr>
        <w:t>Due before Lecture 7.</w:t>
      </w:r>
    </w:p>
    <w:p w:rsidR="008403EF" w:rsidRPr="00405717" w:rsidRDefault="008403EF"/>
    <w:p w:rsidR="005D0B64" w:rsidRDefault="005D0B64">
      <w:r>
        <w:br w:type="page"/>
      </w:r>
    </w:p>
    <w:p w:rsidR="00B66CFF" w:rsidRDefault="00B66CFF">
      <w:pPr>
        <w:rPr>
          <w:b/>
          <w:sz w:val="28"/>
          <w:szCs w:val="28"/>
        </w:rPr>
      </w:pPr>
      <w:r w:rsidRPr="00405717">
        <w:rPr>
          <w:b/>
          <w:sz w:val="28"/>
          <w:szCs w:val="28"/>
        </w:rPr>
        <w:lastRenderedPageBreak/>
        <w:t xml:space="preserve">Lecture 7:  </w:t>
      </w:r>
      <w:r w:rsidR="00B55851" w:rsidRPr="00405717">
        <w:rPr>
          <w:b/>
          <w:sz w:val="28"/>
          <w:szCs w:val="28"/>
        </w:rPr>
        <w:t>May 9, 2022-E</w:t>
      </w:r>
      <w:r w:rsidR="00A2120E" w:rsidRPr="00405717">
        <w:rPr>
          <w:b/>
          <w:sz w:val="28"/>
          <w:szCs w:val="28"/>
        </w:rPr>
        <w:t>quity</w:t>
      </w:r>
    </w:p>
    <w:p w:rsidR="005D0B64" w:rsidRPr="00405717" w:rsidRDefault="005D0B64" w:rsidP="005D0B64">
      <w:pPr>
        <w:rPr>
          <w:u w:val="single"/>
        </w:rPr>
      </w:pPr>
    </w:p>
    <w:p w:rsidR="005D0B64" w:rsidRDefault="005D0B64" w:rsidP="005D0B64">
      <w:pPr>
        <w:rPr>
          <w:u w:val="single"/>
        </w:rPr>
      </w:pPr>
      <w:r w:rsidRPr="00405717">
        <w:rPr>
          <w:u w:val="single"/>
        </w:rPr>
        <w:t>Resources</w:t>
      </w:r>
    </w:p>
    <w:p w:rsidR="005D0B64" w:rsidRPr="00405717" w:rsidRDefault="005D0B64">
      <w:pPr>
        <w:rPr>
          <w:b/>
          <w:sz w:val="28"/>
          <w:szCs w:val="28"/>
        </w:rPr>
      </w:pPr>
    </w:p>
    <w:p w:rsidR="00A2120E" w:rsidRPr="00405717" w:rsidRDefault="00A2120E" w:rsidP="00F80C0F">
      <w:pPr>
        <w:ind w:left="720"/>
        <w:rPr>
          <w:color w:val="000000"/>
        </w:rPr>
      </w:pPr>
      <w:r w:rsidRPr="00405717">
        <w:rPr>
          <w:color w:val="000000"/>
        </w:rPr>
        <w:t xml:space="preserve">Schelling, T. (1981). Economic Reasoning and the Ethics of Policy.  </w:t>
      </w:r>
      <w:hyperlink r:id="rId27" w:history="1">
        <w:r w:rsidRPr="00405717">
          <w:rPr>
            <w:color w:val="000000"/>
          </w:rPr>
          <w:t>https://www.nationalaffairs.com/public_interest/detail/economic-reasoning-and-the-ethics-of-policy</w:t>
        </w:r>
      </w:hyperlink>
    </w:p>
    <w:p w:rsidR="00A2120E" w:rsidRPr="00405717" w:rsidRDefault="00A2120E" w:rsidP="00F80C0F">
      <w:pPr>
        <w:ind w:left="720"/>
        <w:rPr>
          <w:color w:val="000000"/>
        </w:rPr>
      </w:pPr>
    </w:p>
    <w:p w:rsidR="00A2120E" w:rsidRPr="00405717" w:rsidRDefault="007C56F6" w:rsidP="00F80C0F">
      <w:pPr>
        <w:ind w:left="720"/>
        <w:rPr>
          <w:color w:val="000000"/>
        </w:rPr>
      </w:pPr>
      <w:hyperlink r:id="rId28" w:history="1">
        <w:r w:rsidR="00A2120E" w:rsidRPr="00405717">
          <w:rPr>
            <w:color w:val="000000"/>
          </w:rPr>
          <w:t>Challenges To Reducing Discrimination And Health Inequity Through Existing Civil Rights Laws</w:t>
        </w:r>
      </w:hyperlink>
    </w:p>
    <w:p w:rsidR="00A2120E" w:rsidRPr="00405717" w:rsidRDefault="00A2120E" w:rsidP="00F80C0F">
      <w:pPr>
        <w:ind w:left="720"/>
        <w:rPr>
          <w:color w:val="000000"/>
        </w:rPr>
      </w:pPr>
      <w:r w:rsidRPr="00405717">
        <w:rPr>
          <w:color w:val="000000"/>
        </w:rPr>
        <w:t xml:space="preserve">A Chandra, M </w:t>
      </w:r>
      <w:proofErr w:type="spellStart"/>
      <w:r w:rsidRPr="00405717">
        <w:rPr>
          <w:color w:val="000000"/>
        </w:rPr>
        <w:t>Frakes</w:t>
      </w:r>
      <w:proofErr w:type="spellEnd"/>
      <w:r w:rsidRPr="00405717">
        <w:rPr>
          <w:color w:val="000000"/>
        </w:rPr>
        <w:t xml:space="preserve">, A </w:t>
      </w:r>
      <w:proofErr w:type="spellStart"/>
      <w:r w:rsidRPr="00405717">
        <w:rPr>
          <w:color w:val="000000"/>
        </w:rPr>
        <w:t>Malani</w:t>
      </w:r>
      <w:proofErr w:type="spellEnd"/>
      <w:r w:rsidRPr="00405717">
        <w:rPr>
          <w:color w:val="000000"/>
        </w:rPr>
        <w:t> - Health Affairs, 2017</w:t>
      </w:r>
    </w:p>
    <w:p w:rsidR="00A2120E" w:rsidRPr="00405717" w:rsidRDefault="00A2120E" w:rsidP="00F80C0F">
      <w:pPr>
        <w:ind w:left="720"/>
        <w:rPr>
          <w:color w:val="000000"/>
        </w:rPr>
      </w:pPr>
    </w:p>
    <w:p w:rsidR="00A2120E" w:rsidRPr="00405717" w:rsidRDefault="00A2120E" w:rsidP="00F80C0F">
      <w:pPr>
        <w:ind w:left="720"/>
        <w:rPr>
          <w:color w:val="000000"/>
        </w:rPr>
      </w:pPr>
      <w:proofErr w:type="spellStart"/>
      <w:r w:rsidRPr="00405717">
        <w:rPr>
          <w:color w:val="000000"/>
        </w:rPr>
        <w:t>Zewde</w:t>
      </w:r>
      <w:proofErr w:type="spellEnd"/>
      <w:r w:rsidRPr="00405717">
        <w:rPr>
          <w:color w:val="000000"/>
        </w:rPr>
        <w:t xml:space="preserve">, Naomi, and Christopher </w:t>
      </w:r>
      <w:proofErr w:type="spellStart"/>
      <w:r w:rsidRPr="00405717">
        <w:rPr>
          <w:color w:val="000000"/>
        </w:rPr>
        <w:t>Wimer</w:t>
      </w:r>
      <w:proofErr w:type="spellEnd"/>
      <w:r w:rsidRPr="00405717">
        <w:rPr>
          <w:color w:val="000000"/>
        </w:rPr>
        <w:t>. "Antipoverty impact of Medicaid growing with state expansions over time." Health Affairs 38, no. 1 (2019): 132-138. https://www.healthaffairs.org/doi/full/10.1377/hlthaff.2018.05155</w:t>
      </w:r>
    </w:p>
    <w:p w:rsidR="00A2120E" w:rsidRPr="00405717" w:rsidRDefault="00A2120E" w:rsidP="00F2325D">
      <w:pPr>
        <w:ind w:left="720"/>
        <w:rPr>
          <w:color w:val="000000"/>
        </w:rPr>
      </w:pPr>
    </w:p>
    <w:p w:rsidR="00BC33DA" w:rsidRPr="00405717" w:rsidRDefault="007C56F6" w:rsidP="00F80C0F">
      <w:pPr>
        <w:ind w:left="720"/>
        <w:rPr>
          <w:color w:val="000000"/>
        </w:rPr>
      </w:pPr>
      <w:hyperlink r:id="rId29" w:history="1">
        <w:r w:rsidR="00BC33DA" w:rsidRPr="00405717">
          <w:rPr>
            <w:color w:val="000000"/>
          </w:rPr>
          <w:t>Health Inequalities and Infectious Disease Epidemics: A Challenge for Global Health Security</w:t>
        </w:r>
      </w:hyperlink>
      <w:r w:rsidR="00F2325D" w:rsidRPr="00405717">
        <w:rPr>
          <w:color w:val="000000"/>
        </w:rPr>
        <w:t xml:space="preserve"> </w:t>
      </w:r>
      <w:r w:rsidR="00BC33DA" w:rsidRPr="00405717">
        <w:rPr>
          <w:color w:val="000000"/>
        </w:rPr>
        <w:t xml:space="preserve">Sandra Crouse Quinn and </w:t>
      </w:r>
      <w:proofErr w:type="spellStart"/>
      <w:r w:rsidR="00BC33DA" w:rsidRPr="00405717">
        <w:rPr>
          <w:color w:val="000000"/>
        </w:rPr>
        <w:t>Supriya</w:t>
      </w:r>
      <w:proofErr w:type="spellEnd"/>
      <w:r w:rsidR="00BC33DA" w:rsidRPr="00405717">
        <w:rPr>
          <w:color w:val="000000"/>
        </w:rPr>
        <w:t xml:space="preserve"> Kumar</w:t>
      </w:r>
    </w:p>
    <w:p w:rsidR="00AD02F5" w:rsidRPr="00405717" w:rsidRDefault="00BC33DA" w:rsidP="00F2325D">
      <w:pPr>
        <w:ind w:left="720"/>
        <w:rPr>
          <w:color w:val="000000"/>
        </w:rPr>
      </w:pPr>
      <w:r w:rsidRPr="00405717">
        <w:rPr>
          <w:color w:val="000000"/>
        </w:rPr>
        <w:t>Biosecurity and Bioterrorism: Biodefense Strategy, Practice, and Science 2014 12:5, 263-273</w:t>
      </w:r>
      <w:r w:rsidR="00322624" w:rsidRPr="00405717">
        <w:rPr>
          <w:color w:val="000000"/>
        </w:rPr>
        <w:br w:type="page"/>
      </w:r>
    </w:p>
    <w:p w:rsidR="00AD02F5" w:rsidRPr="00405717" w:rsidRDefault="00322624">
      <w:pPr>
        <w:pStyle w:val="Heading2"/>
        <w:keepNext w:val="0"/>
        <w:keepLines w:val="0"/>
        <w:spacing w:after="80"/>
        <w:rPr>
          <w:b/>
        </w:rPr>
      </w:pPr>
      <w:r w:rsidRPr="00405717">
        <w:rPr>
          <w:b/>
        </w:rPr>
        <w:lastRenderedPageBreak/>
        <w:t>NYU Classes</w:t>
      </w:r>
    </w:p>
    <w:p w:rsidR="00AD02F5" w:rsidRPr="00405717" w:rsidRDefault="00322624">
      <w:pPr>
        <w:pBdr>
          <w:top w:val="none" w:sz="0" w:space="0" w:color="000000"/>
          <w:left w:val="none" w:sz="0" w:space="0" w:color="000000"/>
          <w:bottom w:val="none" w:sz="0" w:space="0" w:color="000000"/>
          <w:right w:val="none" w:sz="0" w:space="0" w:color="000000"/>
          <w:between w:val="none" w:sz="0" w:space="0" w:color="000000"/>
        </w:pBdr>
        <w:ind w:right="60"/>
        <w:rPr>
          <w:sz w:val="24"/>
          <w:szCs w:val="24"/>
        </w:rPr>
      </w:pPr>
      <w:r w:rsidRPr="00405717">
        <w:t>All announcements, resources, and assignments will be delivered through the NYU Classes site. The instructor may modify assignments, due dates, and other aspects of the course as we go through the term with advance notice provided as soon as possible through the course website.</w:t>
      </w:r>
    </w:p>
    <w:p w:rsidR="00AD02F5" w:rsidRPr="00405717" w:rsidRDefault="00AD02F5">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AD02F5" w:rsidRPr="00405717" w:rsidRDefault="00322624">
      <w:pPr>
        <w:pStyle w:val="Heading2"/>
        <w:rPr>
          <w:b/>
        </w:rPr>
      </w:pPr>
      <w:bookmarkStart w:id="12" w:name="_44sinio" w:colFirst="0" w:colLast="0"/>
      <w:bookmarkEnd w:id="12"/>
      <w:r w:rsidRPr="00405717">
        <w:rPr>
          <w:b/>
        </w:rPr>
        <w:t>Academic Integrity</w:t>
      </w:r>
    </w:p>
    <w:p w:rsidR="00AD02F5" w:rsidRPr="00405717" w:rsidRDefault="00322624">
      <w:r w:rsidRPr="00405717">
        <w:t xml:space="preserve">Academic integrity is a vital component of Wagner and NYU. All students enrolled in this class are required to read and abide by </w:t>
      </w:r>
      <w:hyperlink r:id="rId30">
        <w:r w:rsidRPr="00405717">
          <w:rPr>
            <w:color w:val="0000FF"/>
            <w:u w:val="single"/>
          </w:rPr>
          <w:t>Wagner’s Academic Code</w:t>
        </w:r>
      </w:hyperlink>
      <w:r w:rsidRPr="00405717">
        <w:t>. All Wagner students have already read and signed the </w:t>
      </w:r>
      <w:hyperlink r:id="rId31">
        <w:r w:rsidRPr="00405717">
          <w:rPr>
            <w:color w:val="0000FF"/>
            <w:u w:val="single"/>
          </w:rPr>
          <w:t>Wagner Academic Oath</w:t>
        </w:r>
      </w:hyperlink>
      <w:r w:rsidRPr="00405717">
        <w:t xml:space="preserve">. </w:t>
      </w:r>
      <w:r w:rsidRPr="00405717">
        <w:rPr>
          <w:color w:val="222222"/>
        </w:rPr>
        <w:t>Plagiarism of any form will not be tolerated and students in this class are expected to report violations to me. </w:t>
      </w:r>
      <w:r w:rsidRPr="00405717">
        <w:t>If any student in this class is unsure about what is expected of you and how to abide by the academic code, you should consult with me.</w:t>
      </w:r>
    </w:p>
    <w:p w:rsidR="00AD02F5" w:rsidRPr="00405717" w:rsidRDefault="00322624">
      <w:pPr>
        <w:pStyle w:val="Heading2"/>
        <w:rPr>
          <w:b/>
        </w:rPr>
      </w:pPr>
      <w:r w:rsidRPr="00405717">
        <w:rPr>
          <w:b/>
        </w:rPr>
        <w:t>Henry and Lucy Moses Center for Students with Disabilities at NYU</w:t>
      </w:r>
    </w:p>
    <w:p w:rsidR="00AD02F5" w:rsidRPr="00405717" w:rsidRDefault="00322624">
      <w:pPr>
        <w:pBdr>
          <w:top w:val="none" w:sz="0" w:space="0" w:color="000000"/>
          <w:left w:val="none" w:sz="0" w:space="0" w:color="000000"/>
          <w:bottom w:val="none" w:sz="0" w:space="0" w:color="000000"/>
          <w:right w:val="none" w:sz="0" w:space="0" w:color="000000"/>
          <w:between w:val="none" w:sz="0" w:space="0" w:color="000000"/>
        </w:pBdr>
        <w:spacing w:line="240" w:lineRule="auto"/>
      </w:pPr>
      <w:r w:rsidRPr="00405717">
        <w:rPr>
          <w:sz w:val="24"/>
          <w:szCs w:val="24"/>
        </w:rPr>
        <w:t>[</w:t>
      </w:r>
      <w:r w:rsidRPr="00405717">
        <w:t xml:space="preserve">This statement is </w:t>
      </w:r>
      <w:r w:rsidRPr="00405717">
        <w:rPr>
          <w:u w:val="single"/>
        </w:rPr>
        <w:t>required</w:t>
      </w:r>
      <w:r w:rsidRPr="00405717">
        <w:t xml:space="preserve"> to appear in all syllabi:]</w:t>
      </w:r>
    </w:p>
    <w:p w:rsidR="00AD02F5" w:rsidRPr="00405717" w:rsidRDefault="00AD02F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AD02F5" w:rsidRPr="00405717" w:rsidRDefault="00322624">
      <w:pPr>
        <w:pBdr>
          <w:top w:val="none" w:sz="0" w:space="0" w:color="000000"/>
          <w:left w:val="none" w:sz="0" w:space="0" w:color="000000"/>
          <w:bottom w:val="none" w:sz="0" w:space="0" w:color="000000"/>
          <w:right w:val="none" w:sz="0" w:space="0" w:color="000000"/>
          <w:between w:val="none" w:sz="0" w:space="0" w:color="000000"/>
        </w:pBdr>
        <w:rPr>
          <w:b/>
        </w:rPr>
      </w:pPr>
      <w:r w:rsidRPr="00405717">
        <w:t xml:space="preserve">Academic accommodations are available for students with disabilities.  Please visit the </w:t>
      </w:r>
      <w:hyperlink r:id="rId32">
        <w:r w:rsidRPr="00405717">
          <w:rPr>
            <w:color w:val="0000FF"/>
            <w:u w:val="single"/>
          </w:rPr>
          <w:t>Moses Center for Students with Disabilities (CSD) website</w:t>
        </w:r>
      </w:hyperlink>
      <w:r w:rsidRPr="00405717">
        <w:t xml:space="preserve"> and click on the Reasonable Accommodations and How to Register tab or call or email CSD at (212-998-4980 or </w:t>
      </w:r>
      <w:hyperlink r:id="rId33">
        <w:r w:rsidRPr="00405717">
          <w:rPr>
            <w:color w:val="0000FF"/>
            <w:u w:val="single"/>
          </w:rPr>
          <w:t>mosescsd@nyu.edu</w:t>
        </w:r>
      </w:hyperlink>
      <w:r w:rsidRPr="00405717">
        <w:t>) for information. Students who are requesting academic accommodations are strongly advised to reach out to the Moses Center as early as possible in the semester for assistance.</w:t>
      </w:r>
    </w:p>
    <w:p w:rsidR="00AD02F5" w:rsidRPr="00405717" w:rsidRDefault="00322624">
      <w:pPr>
        <w:pStyle w:val="Heading2"/>
        <w:rPr>
          <w:b/>
        </w:rPr>
      </w:pPr>
      <w:bookmarkStart w:id="13" w:name="_uzyqsajyq5mh" w:colFirst="0" w:colLast="0"/>
      <w:bookmarkEnd w:id="13"/>
      <w:r w:rsidRPr="00405717">
        <w:rPr>
          <w:b/>
        </w:rPr>
        <w:t>NYU’s Calendar Policy on Religious Holidays</w:t>
      </w:r>
    </w:p>
    <w:p w:rsidR="00AD02F5" w:rsidRPr="00405717" w:rsidRDefault="007C56F6">
      <w:pPr>
        <w:pBdr>
          <w:top w:val="none" w:sz="0" w:space="0" w:color="000000"/>
          <w:left w:val="none" w:sz="0" w:space="0" w:color="000000"/>
          <w:bottom w:val="none" w:sz="0" w:space="0" w:color="000000"/>
          <w:right w:val="none" w:sz="0" w:space="0" w:color="000000"/>
          <w:between w:val="none" w:sz="0" w:space="0" w:color="000000"/>
        </w:pBdr>
      </w:pPr>
      <w:hyperlink r:id="rId34">
        <w:r w:rsidR="00322624" w:rsidRPr="00405717">
          <w:rPr>
            <w:color w:val="0000FF"/>
            <w:u w:val="single"/>
          </w:rPr>
          <w:t>NYU’s Calendar Policy on Religious Holidays</w:t>
        </w:r>
      </w:hyperlink>
      <w:r w:rsidR="00322624" w:rsidRPr="00405717">
        <w:t xml:space="preserve"> states that members of any religious group may, without penalty, absent themselves from classes when required in compliance with their religious obligations. Please notify me in advance of religious holidays coinciding with assignment due dates and exams to schedule mutually acceptable alternatives.</w:t>
      </w:r>
    </w:p>
    <w:p w:rsidR="00AD02F5" w:rsidRPr="00405717" w:rsidRDefault="00322624">
      <w:pPr>
        <w:pStyle w:val="Heading2"/>
        <w:keepNext w:val="0"/>
        <w:keepLines w:val="0"/>
        <w:spacing w:after="80" w:line="273" w:lineRule="auto"/>
        <w:rPr>
          <w:b/>
        </w:rPr>
      </w:pPr>
      <w:bookmarkStart w:id="14" w:name="_2jxsxqh" w:colFirst="0" w:colLast="0"/>
      <w:bookmarkEnd w:id="14"/>
      <w:r w:rsidRPr="00405717">
        <w:br w:type="page"/>
      </w:r>
    </w:p>
    <w:p w:rsidR="00AD02F5" w:rsidRPr="00405717" w:rsidRDefault="00322624">
      <w:pPr>
        <w:pStyle w:val="Heading2"/>
        <w:keepNext w:val="0"/>
        <w:keepLines w:val="0"/>
        <w:spacing w:after="80" w:line="273" w:lineRule="auto"/>
        <w:rPr>
          <w:b/>
        </w:rPr>
      </w:pPr>
      <w:bookmarkStart w:id="15" w:name="_vusb4rjtoods" w:colFirst="0" w:colLast="0"/>
      <w:bookmarkEnd w:id="15"/>
      <w:r w:rsidRPr="00405717">
        <w:rPr>
          <w:b/>
        </w:rPr>
        <w:lastRenderedPageBreak/>
        <w:t>Class Policies</w:t>
      </w:r>
    </w:p>
    <w:p w:rsidR="00AD02F5" w:rsidRPr="00405717" w:rsidRDefault="00322624">
      <w:pPr>
        <w:pStyle w:val="Heading3"/>
        <w:spacing w:line="273" w:lineRule="auto"/>
        <w:rPr>
          <w:b/>
        </w:rPr>
      </w:pPr>
      <w:bookmarkStart w:id="16" w:name="_z337ya" w:colFirst="0" w:colLast="0"/>
      <w:bookmarkEnd w:id="16"/>
      <w:r w:rsidRPr="00405717">
        <w:rPr>
          <w:b/>
        </w:rPr>
        <w:t>Attendance</w:t>
      </w:r>
    </w:p>
    <w:p w:rsidR="00AD02F5" w:rsidRPr="00405717" w:rsidRDefault="00322624">
      <w:pPr>
        <w:spacing w:after="120" w:line="273" w:lineRule="auto"/>
      </w:pPr>
      <w:r w:rsidRPr="00405717">
        <w:t xml:space="preserve">You should attend all live sessions. Any absence must be explained and justified beforehand; your grade will be lowered if you do not do so. </w:t>
      </w:r>
    </w:p>
    <w:p w:rsidR="00AD02F5" w:rsidRPr="00405717" w:rsidRDefault="00322624">
      <w:pPr>
        <w:pStyle w:val="Heading3"/>
        <w:spacing w:line="273" w:lineRule="auto"/>
        <w:rPr>
          <w:b/>
        </w:rPr>
      </w:pPr>
      <w:bookmarkStart w:id="17" w:name="_3j2qqm3" w:colFirst="0" w:colLast="0"/>
      <w:bookmarkEnd w:id="17"/>
      <w:r w:rsidRPr="00405717">
        <w:rPr>
          <w:b/>
        </w:rPr>
        <w:t>Late assignments</w:t>
      </w:r>
    </w:p>
    <w:p w:rsidR="00AD02F5" w:rsidRPr="00544A78" w:rsidRDefault="00322624">
      <w:pPr>
        <w:spacing w:after="120" w:line="273" w:lineRule="auto"/>
        <w:rPr>
          <w:sz w:val="24"/>
          <w:szCs w:val="24"/>
        </w:rPr>
      </w:pPr>
      <w:r w:rsidRPr="00405717">
        <w:t>Extensions will be granted only in case of an emergency, out of respect for those who abide by deadlines despite hectic schedules. Late submissions without prior permission will be penalized by ½ a letter grade per day (e.g., B+ to B).</w:t>
      </w:r>
    </w:p>
    <w:p w:rsidR="00AD02F5" w:rsidRPr="00544A78" w:rsidRDefault="00AD02F5"/>
    <w:p w:rsidR="00AD02F5" w:rsidRPr="00544A78" w:rsidRDefault="00AD02F5"/>
    <w:sectPr w:rsidR="00AD02F5" w:rsidRPr="00544A78">
      <w:head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F6" w:rsidRDefault="007C56F6">
      <w:pPr>
        <w:spacing w:line="240" w:lineRule="auto"/>
      </w:pPr>
      <w:r>
        <w:separator/>
      </w:r>
    </w:p>
  </w:endnote>
  <w:endnote w:type="continuationSeparator" w:id="0">
    <w:p w:rsidR="007C56F6" w:rsidRDefault="007C5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F6" w:rsidRDefault="007C56F6">
      <w:pPr>
        <w:spacing w:line="240" w:lineRule="auto"/>
      </w:pPr>
      <w:r>
        <w:separator/>
      </w:r>
    </w:p>
  </w:footnote>
  <w:footnote w:type="continuationSeparator" w:id="0">
    <w:p w:rsidR="007C56F6" w:rsidRDefault="007C5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2F5" w:rsidRDefault="00AD02F5">
    <w:pPr>
      <w:pStyle w:val="Heading1"/>
      <w:keepNext w:val="0"/>
      <w:keepLines w:val="0"/>
      <w:tabs>
        <w:tab w:val="right" w:pos="2160"/>
        <w:tab w:val="left" w:pos="7200"/>
      </w:tabs>
      <w:spacing w:before="120"/>
      <w:ind w:left="2520" w:right="2160"/>
      <w:jc w:val="center"/>
    </w:pPr>
    <w:bookmarkStart w:id="18" w:name="_1y810tw" w:colFirst="0" w:colLast="0"/>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0E"/>
    <w:multiLevelType w:val="hybridMultilevel"/>
    <w:tmpl w:val="97784D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71B16"/>
    <w:multiLevelType w:val="hybridMultilevel"/>
    <w:tmpl w:val="3F2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643AE"/>
    <w:multiLevelType w:val="hybridMultilevel"/>
    <w:tmpl w:val="5AC2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36DEA"/>
    <w:multiLevelType w:val="hybridMultilevel"/>
    <w:tmpl w:val="C950AFB6"/>
    <w:lvl w:ilvl="0" w:tplc="18B4FD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75204"/>
    <w:multiLevelType w:val="multilevel"/>
    <w:tmpl w:val="5E6A854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5" w15:restartNumberingAfterBreak="0">
    <w:nsid w:val="29ED18A8"/>
    <w:multiLevelType w:val="multilevel"/>
    <w:tmpl w:val="3B54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874B7"/>
    <w:multiLevelType w:val="hybridMultilevel"/>
    <w:tmpl w:val="B74A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1340"/>
    <w:multiLevelType w:val="multilevel"/>
    <w:tmpl w:val="4520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878FE"/>
    <w:multiLevelType w:val="multilevel"/>
    <w:tmpl w:val="DB527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697674"/>
    <w:multiLevelType w:val="hybridMultilevel"/>
    <w:tmpl w:val="3C7CD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13A61"/>
    <w:multiLevelType w:val="multilevel"/>
    <w:tmpl w:val="BF861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B42185"/>
    <w:multiLevelType w:val="hybridMultilevel"/>
    <w:tmpl w:val="3BF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F0B8A"/>
    <w:multiLevelType w:val="hybridMultilevel"/>
    <w:tmpl w:val="ACE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65169"/>
    <w:multiLevelType w:val="hybridMultilevel"/>
    <w:tmpl w:val="D3D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601A5"/>
    <w:multiLevelType w:val="hybridMultilevel"/>
    <w:tmpl w:val="A562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C0B74"/>
    <w:multiLevelType w:val="hybridMultilevel"/>
    <w:tmpl w:val="423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0229D"/>
    <w:multiLevelType w:val="multilevel"/>
    <w:tmpl w:val="40E4F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C607BF"/>
    <w:multiLevelType w:val="multilevel"/>
    <w:tmpl w:val="BD62F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0"/>
  </w:num>
  <w:num w:numId="3">
    <w:abstractNumId w:val="8"/>
  </w:num>
  <w:num w:numId="4">
    <w:abstractNumId w:val="17"/>
  </w:num>
  <w:num w:numId="5">
    <w:abstractNumId w:val="4"/>
  </w:num>
  <w:num w:numId="6">
    <w:abstractNumId w:val="3"/>
  </w:num>
  <w:num w:numId="7">
    <w:abstractNumId w:val="15"/>
  </w:num>
  <w:num w:numId="8">
    <w:abstractNumId w:val="2"/>
  </w:num>
  <w:num w:numId="9">
    <w:abstractNumId w:val="14"/>
  </w:num>
  <w:num w:numId="10">
    <w:abstractNumId w:val="9"/>
  </w:num>
  <w:num w:numId="11">
    <w:abstractNumId w:val="12"/>
  </w:num>
  <w:num w:numId="12">
    <w:abstractNumId w:val="0"/>
  </w:num>
  <w:num w:numId="13">
    <w:abstractNumId w:val="1"/>
  </w:num>
  <w:num w:numId="14">
    <w:abstractNumId w:val="11"/>
  </w:num>
  <w:num w:numId="15">
    <w:abstractNumId w:val="5"/>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F5"/>
    <w:rsid w:val="000315F8"/>
    <w:rsid w:val="00075792"/>
    <w:rsid w:val="0010459B"/>
    <w:rsid w:val="0016571C"/>
    <w:rsid w:val="001F3DD1"/>
    <w:rsid w:val="002B09AE"/>
    <w:rsid w:val="002D31B4"/>
    <w:rsid w:val="002F33BB"/>
    <w:rsid w:val="00300D87"/>
    <w:rsid w:val="00322624"/>
    <w:rsid w:val="00343EE4"/>
    <w:rsid w:val="003C620F"/>
    <w:rsid w:val="003F1F4D"/>
    <w:rsid w:val="00405717"/>
    <w:rsid w:val="00450C83"/>
    <w:rsid w:val="00544A78"/>
    <w:rsid w:val="005D0B64"/>
    <w:rsid w:val="005F18B2"/>
    <w:rsid w:val="0067484F"/>
    <w:rsid w:val="0071466A"/>
    <w:rsid w:val="00732954"/>
    <w:rsid w:val="007C0FEA"/>
    <w:rsid w:val="007C56F6"/>
    <w:rsid w:val="008403EF"/>
    <w:rsid w:val="00984BDA"/>
    <w:rsid w:val="009C69F1"/>
    <w:rsid w:val="00A2120E"/>
    <w:rsid w:val="00AB4299"/>
    <w:rsid w:val="00AD02F5"/>
    <w:rsid w:val="00AF7808"/>
    <w:rsid w:val="00B5124E"/>
    <w:rsid w:val="00B55851"/>
    <w:rsid w:val="00B55F14"/>
    <w:rsid w:val="00B66CFF"/>
    <w:rsid w:val="00B839E8"/>
    <w:rsid w:val="00BC33DA"/>
    <w:rsid w:val="00C21AB9"/>
    <w:rsid w:val="00C4642D"/>
    <w:rsid w:val="00E2431E"/>
    <w:rsid w:val="00ED7146"/>
    <w:rsid w:val="00F2325D"/>
    <w:rsid w:val="00F3098E"/>
    <w:rsid w:val="00F64767"/>
    <w:rsid w:val="00F8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4E76"/>
  <w15:docId w15:val="{6BFD574C-B422-4FD6-B149-643FF03B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B4299"/>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B4299"/>
    <w:pPr>
      <w:pBdr>
        <w:top w:val="nil"/>
        <w:left w:val="nil"/>
        <w:bottom w:val="nil"/>
        <w:right w:val="nil"/>
        <w:between w:val="nil"/>
      </w:pBdr>
      <w:ind w:left="720"/>
      <w:contextualSpacing/>
    </w:pPr>
    <w:rPr>
      <w:color w:val="000000"/>
    </w:rPr>
  </w:style>
  <w:style w:type="paragraph" w:styleId="Index4">
    <w:name w:val="index 4"/>
    <w:basedOn w:val="Normal"/>
    <w:next w:val="Normal"/>
    <w:semiHidden/>
    <w:rsid w:val="00B66CFF"/>
    <w:pPr>
      <w:tabs>
        <w:tab w:val="right" w:leader="dot" w:pos="8640"/>
      </w:tabs>
      <w:spacing w:line="240" w:lineRule="auto"/>
      <w:ind w:left="960" w:hanging="240"/>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B66CFF"/>
    <w:rPr>
      <w:color w:val="0000FF" w:themeColor="hyperlink"/>
      <w:u w:val="single"/>
    </w:rPr>
  </w:style>
  <w:style w:type="character" w:styleId="Emphasis">
    <w:name w:val="Emphasis"/>
    <w:uiPriority w:val="20"/>
    <w:qFormat/>
    <w:rsid w:val="00B66CFF"/>
    <w:rPr>
      <w:rFonts w:cs="Times New Roman"/>
      <w:i/>
      <w:iCs/>
    </w:rPr>
  </w:style>
  <w:style w:type="paragraph" w:styleId="Header">
    <w:name w:val="header"/>
    <w:basedOn w:val="Normal"/>
    <w:link w:val="HeaderChar"/>
    <w:uiPriority w:val="99"/>
    <w:unhideWhenUsed/>
    <w:rsid w:val="00B66CFF"/>
    <w:pPr>
      <w:tabs>
        <w:tab w:val="center" w:pos="4680"/>
        <w:tab w:val="right" w:pos="9360"/>
      </w:tabs>
      <w:spacing w:line="240" w:lineRule="auto"/>
    </w:pPr>
  </w:style>
  <w:style w:type="character" w:customStyle="1" w:styleId="HeaderChar">
    <w:name w:val="Header Char"/>
    <w:basedOn w:val="DefaultParagraphFont"/>
    <w:link w:val="Header"/>
    <w:uiPriority w:val="99"/>
    <w:rsid w:val="00B66CFF"/>
  </w:style>
  <w:style w:type="paragraph" w:styleId="Footer">
    <w:name w:val="footer"/>
    <w:basedOn w:val="Normal"/>
    <w:link w:val="FooterChar"/>
    <w:uiPriority w:val="99"/>
    <w:unhideWhenUsed/>
    <w:rsid w:val="00B66CFF"/>
    <w:pPr>
      <w:tabs>
        <w:tab w:val="center" w:pos="4680"/>
        <w:tab w:val="right" w:pos="9360"/>
      </w:tabs>
      <w:spacing w:line="240" w:lineRule="auto"/>
    </w:pPr>
  </w:style>
  <w:style w:type="character" w:customStyle="1" w:styleId="FooterChar">
    <w:name w:val="Footer Char"/>
    <w:basedOn w:val="DefaultParagraphFont"/>
    <w:link w:val="Footer"/>
    <w:uiPriority w:val="99"/>
    <w:rsid w:val="00B66CFF"/>
  </w:style>
  <w:style w:type="character" w:styleId="Strong">
    <w:name w:val="Strong"/>
    <w:basedOn w:val="DefaultParagraphFont"/>
    <w:qFormat/>
    <w:rsid w:val="00B66CFF"/>
    <w:rPr>
      <w:b/>
      <w:bCs/>
    </w:rPr>
  </w:style>
  <w:style w:type="character" w:customStyle="1" w:styleId="UnresolvedMention1">
    <w:name w:val="Unresolved Mention1"/>
    <w:basedOn w:val="DefaultParagraphFont"/>
    <w:uiPriority w:val="99"/>
    <w:semiHidden/>
    <w:unhideWhenUsed/>
    <w:rsid w:val="003C620F"/>
    <w:rPr>
      <w:color w:val="605E5C"/>
      <w:shd w:val="clear" w:color="auto" w:fill="E1DFDD"/>
    </w:rPr>
  </w:style>
  <w:style w:type="character" w:customStyle="1" w:styleId="journalname">
    <w:name w:val="journalname"/>
    <w:basedOn w:val="DefaultParagraphFont"/>
    <w:rsid w:val="00BC33DA"/>
  </w:style>
  <w:style w:type="character" w:customStyle="1" w:styleId="year">
    <w:name w:val="year"/>
    <w:basedOn w:val="DefaultParagraphFont"/>
    <w:rsid w:val="00BC33DA"/>
  </w:style>
  <w:style w:type="character" w:customStyle="1" w:styleId="volume">
    <w:name w:val="volume"/>
    <w:basedOn w:val="DefaultParagraphFont"/>
    <w:rsid w:val="00BC33DA"/>
  </w:style>
  <w:style w:type="character" w:customStyle="1" w:styleId="issue">
    <w:name w:val="issue"/>
    <w:basedOn w:val="DefaultParagraphFont"/>
    <w:rsid w:val="00BC33DA"/>
  </w:style>
  <w:style w:type="character" w:customStyle="1" w:styleId="page">
    <w:name w:val="page"/>
    <w:basedOn w:val="DefaultParagraphFont"/>
    <w:rsid w:val="00BC33DA"/>
  </w:style>
  <w:style w:type="paragraph" w:styleId="NormalWeb">
    <w:name w:val="Normal (Web)"/>
    <w:basedOn w:val="Normal"/>
    <w:uiPriority w:val="99"/>
    <w:unhideWhenUsed/>
    <w:rsid w:val="00AF78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F7808"/>
    <w:rPr>
      <w:color w:val="800080" w:themeColor="followedHyperlink"/>
      <w:u w:val="single"/>
    </w:rPr>
  </w:style>
  <w:style w:type="paragraph" w:styleId="BalloonText">
    <w:name w:val="Balloon Text"/>
    <w:basedOn w:val="Normal"/>
    <w:link w:val="BalloonTextChar"/>
    <w:uiPriority w:val="99"/>
    <w:semiHidden/>
    <w:unhideWhenUsed/>
    <w:rsid w:val="00F80C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217">
      <w:bodyDiv w:val="1"/>
      <w:marLeft w:val="0"/>
      <w:marRight w:val="0"/>
      <w:marTop w:val="0"/>
      <w:marBottom w:val="0"/>
      <w:divBdr>
        <w:top w:val="none" w:sz="0" w:space="0" w:color="auto"/>
        <w:left w:val="none" w:sz="0" w:space="0" w:color="auto"/>
        <w:bottom w:val="none" w:sz="0" w:space="0" w:color="auto"/>
        <w:right w:val="none" w:sz="0" w:space="0" w:color="auto"/>
      </w:divBdr>
    </w:div>
    <w:div w:id="476336928">
      <w:bodyDiv w:val="1"/>
      <w:marLeft w:val="0"/>
      <w:marRight w:val="0"/>
      <w:marTop w:val="0"/>
      <w:marBottom w:val="0"/>
      <w:divBdr>
        <w:top w:val="none" w:sz="0" w:space="0" w:color="auto"/>
        <w:left w:val="none" w:sz="0" w:space="0" w:color="auto"/>
        <w:bottom w:val="none" w:sz="0" w:space="0" w:color="auto"/>
        <w:right w:val="none" w:sz="0" w:space="0" w:color="auto"/>
      </w:divBdr>
    </w:div>
    <w:div w:id="991568821">
      <w:bodyDiv w:val="1"/>
      <w:marLeft w:val="0"/>
      <w:marRight w:val="0"/>
      <w:marTop w:val="0"/>
      <w:marBottom w:val="0"/>
      <w:divBdr>
        <w:top w:val="none" w:sz="0" w:space="0" w:color="auto"/>
        <w:left w:val="none" w:sz="0" w:space="0" w:color="auto"/>
        <w:bottom w:val="none" w:sz="0" w:space="0" w:color="auto"/>
        <w:right w:val="none" w:sz="0" w:space="0" w:color="auto"/>
      </w:divBdr>
    </w:div>
    <w:div w:id="1336374298">
      <w:bodyDiv w:val="1"/>
      <w:marLeft w:val="0"/>
      <w:marRight w:val="0"/>
      <w:marTop w:val="0"/>
      <w:marBottom w:val="0"/>
      <w:divBdr>
        <w:top w:val="none" w:sz="0" w:space="0" w:color="auto"/>
        <w:left w:val="none" w:sz="0" w:space="0" w:color="auto"/>
        <w:bottom w:val="none" w:sz="0" w:space="0" w:color="auto"/>
        <w:right w:val="none" w:sz="0" w:space="0" w:color="auto"/>
      </w:divBdr>
    </w:div>
    <w:div w:id="1552037657">
      <w:bodyDiv w:val="1"/>
      <w:marLeft w:val="0"/>
      <w:marRight w:val="0"/>
      <w:marTop w:val="0"/>
      <w:marBottom w:val="0"/>
      <w:divBdr>
        <w:top w:val="none" w:sz="0" w:space="0" w:color="auto"/>
        <w:left w:val="none" w:sz="0" w:space="0" w:color="auto"/>
        <w:bottom w:val="none" w:sz="0" w:space="0" w:color="auto"/>
        <w:right w:val="none" w:sz="0" w:space="0" w:color="auto"/>
      </w:divBdr>
      <w:divsChild>
        <w:div w:id="540745696">
          <w:marLeft w:val="0"/>
          <w:marRight w:val="0"/>
          <w:marTop w:val="0"/>
          <w:marBottom w:val="0"/>
          <w:divBdr>
            <w:top w:val="none" w:sz="0" w:space="0" w:color="auto"/>
            <w:left w:val="none" w:sz="0" w:space="0" w:color="auto"/>
            <w:bottom w:val="none" w:sz="0" w:space="0" w:color="auto"/>
            <w:right w:val="none" w:sz="0" w:space="0" w:color="auto"/>
          </w:divBdr>
        </w:div>
      </w:divsChild>
    </w:div>
    <w:div w:id="1564218667">
      <w:bodyDiv w:val="1"/>
      <w:marLeft w:val="0"/>
      <w:marRight w:val="0"/>
      <w:marTop w:val="0"/>
      <w:marBottom w:val="0"/>
      <w:divBdr>
        <w:top w:val="none" w:sz="0" w:space="0" w:color="auto"/>
        <w:left w:val="none" w:sz="0" w:space="0" w:color="auto"/>
        <w:bottom w:val="none" w:sz="0" w:space="0" w:color="auto"/>
        <w:right w:val="none" w:sz="0" w:space="0" w:color="auto"/>
      </w:divBdr>
    </w:div>
    <w:div w:id="1769305478">
      <w:bodyDiv w:val="1"/>
      <w:marLeft w:val="0"/>
      <w:marRight w:val="0"/>
      <w:marTop w:val="0"/>
      <w:marBottom w:val="0"/>
      <w:divBdr>
        <w:top w:val="none" w:sz="0" w:space="0" w:color="auto"/>
        <w:left w:val="none" w:sz="0" w:space="0" w:color="auto"/>
        <w:bottom w:val="none" w:sz="0" w:space="0" w:color="auto"/>
        <w:right w:val="none" w:sz="0" w:space="0" w:color="auto"/>
      </w:divBdr>
      <w:divsChild>
        <w:div w:id="650718674">
          <w:marLeft w:val="0"/>
          <w:marRight w:val="0"/>
          <w:marTop w:val="0"/>
          <w:marBottom w:val="0"/>
          <w:divBdr>
            <w:top w:val="none" w:sz="0" w:space="0" w:color="auto"/>
            <w:left w:val="none" w:sz="0" w:space="0" w:color="auto"/>
            <w:bottom w:val="none" w:sz="0" w:space="0" w:color="auto"/>
            <w:right w:val="none" w:sz="0" w:space="0" w:color="auto"/>
          </w:divBdr>
        </w:div>
        <w:div w:id="1532499899">
          <w:marLeft w:val="0"/>
          <w:marRight w:val="0"/>
          <w:marTop w:val="0"/>
          <w:marBottom w:val="0"/>
          <w:divBdr>
            <w:top w:val="none" w:sz="0" w:space="0" w:color="auto"/>
            <w:left w:val="none" w:sz="0" w:space="0" w:color="auto"/>
            <w:bottom w:val="none" w:sz="0" w:space="0" w:color="auto"/>
            <w:right w:val="none" w:sz="0" w:space="0" w:color="auto"/>
          </w:divBdr>
        </w:div>
      </w:divsChild>
    </w:div>
    <w:div w:id="1869369522">
      <w:bodyDiv w:val="1"/>
      <w:marLeft w:val="0"/>
      <w:marRight w:val="0"/>
      <w:marTop w:val="0"/>
      <w:marBottom w:val="0"/>
      <w:divBdr>
        <w:top w:val="none" w:sz="0" w:space="0" w:color="auto"/>
        <w:left w:val="none" w:sz="0" w:space="0" w:color="auto"/>
        <w:bottom w:val="none" w:sz="0" w:space="0" w:color="auto"/>
        <w:right w:val="none" w:sz="0" w:space="0" w:color="auto"/>
      </w:divBdr>
    </w:div>
    <w:div w:id="191215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affairs.org/do/10.1377/hblog20140417.038582/full/" TargetMode="External"/><Relationship Id="rId18" Type="http://schemas.openxmlformats.org/officeDocument/2006/relationships/hyperlink" Target="http://aspe.hhs.gov/sp/reports/2014/ClinicalTrials/rpt_erg.pdf" TargetMode="External"/><Relationship Id="rId26" Type="http://schemas.openxmlformats.org/officeDocument/2006/relationships/hyperlink" Target="https://www.ahrq.gov/research/findings/nhqrdr/index.html" TargetMode="External"/><Relationship Id="rId21" Type="http://schemas.openxmlformats.org/officeDocument/2006/relationships/hyperlink" Target="http://www.bain.com/Images/BAIN_BRIEF_A_new_pharma_launch_paradigm.pdf" TargetMode="External"/><Relationship Id="rId34"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jpg"/><Relationship Id="rId12" Type="http://schemas.openxmlformats.org/officeDocument/2006/relationships/hyperlink" Target="https://urldefense.proofpoint.com/v2/url?u=https-3A__pubmed.ncbi.nlm.nih.gov_31682488_&amp;d=DwMGaQ&amp;c=slrrB7dE8n7gBJbeO0g-IQ&amp;r=zXlVWXpOpCt9rSPfbeuQKA&amp;m=19jltQnd4LAbNrar1tIRpr5I0JI-k01LQUsx875m6F4Rc1Zh3u1kgHxNN-in0Uc-&amp;s=e4_EMPpMhfg-K9IIW_HqQ_RL0dQnERDAtBHG9sgpDgQ&amp;e=" TargetMode="External"/><Relationship Id="rId17" Type="http://schemas.openxmlformats.org/officeDocument/2006/relationships/hyperlink" Target="http://content.healthaffairs.org/content/28/1/w138.full.pdf+html" TargetMode="External"/><Relationship Id="rId25" Type="http://schemas.openxmlformats.org/officeDocument/2006/relationships/hyperlink" Target="http://www.nber.org/papers/w21222" TargetMode="External"/><Relationship Id="rId33" Type="http://schemas.openxmlformats.org/officeDocument/2006/relationships/hyperlink" Target="mailto:mosescsd@nyu.edu" TargetMode="External"/><Relationship Id="rId2" Type="http://schemas.openxmlformats.org/officeDocument/2006/relationships/styles" Target="styles.xml"/><Relationship Id="rId16" Type="http://schemas.openxmlformats.org/officeDocument/2006/relationships/hyperlink" Target="https://www.cdc.gov/nchs/fastats/electronic-medical-records.htm" TargetMode="External"/><Relationship Id="rId20" Type="http://schemas.openxmlformats.org/officeDocument/2006/relationships/hyperlink" Target="http://www.paecon.net/PAEReview/issue42/Stiglitz42.pdf" TargetMode="External"/><Relationship Id="rId29" Type="http://schemas.openxmlformats.org/officeDocument/2006/relationships/hyperlink" Target="https://www.liebertpub.com/doi/abs/10.1089/bsp.2014.0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pubmed.ncbi.nlm.nih.gov_35221175_&amp;d=DwMGaQ&amp;c=slrrB7dE8n7gBJbeO0g-IQ&amp;r=zXlVWXpOpCt9rSPfbeuQKA&amp;m=19jltQnd4LAbNrar1tIRpr5I0JI-k01LQUsx875m6F4Rc1Zh3u1kgHxNN-in0Uc-&amp;s=R1PfA1Wa4YAXJ2efB3Y3k9QdHr-KBmI8hHRLU9p9sAI&amp;e=" TargetMode="External"/><Relationship Id="rId24" Type="http://schemas.openxmlformats.org/officeDocument/2006/relationships/hyperlink" Target="https://scholar.harvard.edu/files/goldin/files/the_cost_of_workplace_flexibility_for_high-powered_professionals.pdf" TargetMode="External"/><Relationship Id="rId32" Type="http://schemas.openxmlformats.org/officeDocument/2006/relationships/hyperlink" Target="https://www.nyu.edu/students/communities-and-groups/students-with-disabilitie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ejm.org/doi/full/10.1056/NEJMsa1803388" TargetMode="External"/><Relationship Id="rId23" Type="http://schemas.openxmlformats.org/officeDocument/2006/relationships/hyperlink" Target="https://link.springer.com/article/10.1007%2Fs11606-014-3012-9" TargetMode="External"/><Relationship Id="rId28" Type="http://schemas.openxmlformats.org/officeDocument/2006/relationships/hyperlink" Target="https://scholar.google.com/scholar?oi=bibs&amp;cluster=6284053294204926478&amp;btnI=1&amp;hl=en" TargetMode="External"/><Relationship Id="rId36" Type="http://schemas.openxmlformats.org/officeDocument/2006/relationships/fontTable" Target="fontTable.xml"/><Relationship Id="rId10" Type="http://schemas.openxmlformats.org/officeDocument/2006/relationships/hyperlink" Target="https://urldefense.proofpoint.com/v2/url?u=https-3A__www.nber.org_reporter_2013number4_economics-2Dobesity&amp;d=DwMGaQ&amp;c=slrrB7dE8n7gBJbeO0g-IQ&amp;r=zXlVWXpOpCt9rSPfbeuQKA&amp;m=19jltQnd4LAbNrar1tIRpr5I0JI-k01LQUsx875m6F4Rc1Zh3u1kgHxNN-in0Uc-&amp;s=IOiGnBdNnBDhulOPE5Q7lAPG_a0855m6u-zoKuI7TE0&amp;e=" TargetMode="External"/><Relationship Id="rId19" Type="http://schemas.openxmlformats.org/officeDocument/2006/relationships/hyperlink" Target="https://onlinelibrary.wiley.com/doi/epdf/10.1111/1756-2171.12113" TargetMode="External"/><Relationship Id="rId31" Type="http://schemas.openxmlformats.org/officeDocument/2006/relationships/hyperlink" Target="https://wagner.nyu.edu/portal/students/policies/academic-oath" TargetMode="External"/><Relationship Id="rId4" Type="http://schemas.openxmlformats.org/officeDocument/2006/relationships/webSettings" Target="webSettings.xml"/><Relationship Id="rId9" Type="http://schemas.openxmlformats.org/officeDocument/2006/relationships/hyperlink" Target="https://wagner.nyu.edu/community/faculty/sherry-glied/office-hours" TargetMode="External"/><Relationship Id="rId14" Type="http://schemas.openxmlformats.org/officeDocument/2006/relationships/hyperlink" Target="https://www.healthaffairs.org/doi/pdf/10.1377/hlthaff.2011.0675" TargetMode="External"/><Relationship Id="rId22" Type="http://schemas.openxmlformats.org/officeDocument/2006/relationships/hyperlink" Target="http://www.degruyter.com/view/j/fhep.2009.12.1/fhep.2009.12.1.1140/fhep.2009.12.1.1140.xml" TargetMode="External"/><Relationship Id="rId27" Type="http://schemas.openxmlformats.org/officeDocument/2006/relationships/hyperlink" Target="https://www.nationalaffairs.com/public_interest/detail/economic-reasoning-and-the-ethics-of-policy" TargetMode="External"/><Relationship Id="rId30" Type="http://schemas.openxmlformats.org/officeDocument/2006/relationships/hyperlink" Target="https://wagner.nyu.edu/portal/students/policies/code" TargetMode="External"/><Relationship Id="rId35" Type="http://schemas.openxmlformats.org/officeDocument/2006/relationships/header" Target="header1.xml"/><Relationship Id="rId8" Type="http://schemas.openxmlformats.org/officeDocument/2006/relationships/hyperlink" Target="mailto:sg162@ny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Glied</dc:creator>
  <cp:lastModifiedBy>Nelia Ekeji</cp:lastModifiedBy>
  <cp:revision>4</cp:revision>
  <cp:lastPrinted>2022-03-18T21:00:00Z</cp:lastPrinted>
  <dcterms:created xsi:type="dcterms:W3CDTF">2022-03-18T21:30:00Z</dcterms:created>
  <dcterms:modified xsi:type="dcterms:W3CDTF">2023-01-30T20:02:00Z</dcterms:modified>
</cp:coreProperties>
</file>