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80FF" w14:textId="4D66B5F1" w:rsidR="00371A9A" w:rsidRDefault="00371A9A" w:rsidP="00161566">
      <w:pPr>
        <w:spacing w:after="0" w:line="240" w:lineRule="auto"/>
        <w:jc w:val="center"/>
      </w:pPr>
      <w:r w:rsidRPr="00371A9A">
        <w:rPr>
          <w:noProof/>
        </w:rPr>
        <w:drawing>
          <wp:inline distT="0" distB="0" distL="0" distR="0" wp14:anchorId="785EBF3E" wp14:editId="407C36B4">
            <wp:extent cx="5943600" cy="865505"/>
            <wp:effectExtent l="0" t="0" r="0" b="0"/>
            <wp:docPr id="212956050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560504" name="Picture 1" descr="A picture containing text&#10;&#10;Description automatically generated"/>
                    <pic:cNvPicPr/>
                  </pic:nvPicPr>
                  <pic:blipFill>
                    <a:blip r:embed="rId7"/>
                    <a:stretch>
                      <a:fillRect/>
                    </a:stretch>
                  </pic:blipFill>
                  <pic:spPr>
                    <a:xfrm>
                      <a:off x="0" y="0"/>
                      <a:ext cx="5943600" cy="865505"/>
                    </a:xfrm>
                    <a:prstGeom prst="rect">
                      <a:avLst/>
                    </a:prstGeom>
                  </pic:spPr>
                </pic:pic>
              </a:graphicData>
            </a:graphic>
          </wp:inline>
        </w:drawing>
      </w:r>
    </w:p>
    <w:p w14:paraId="23E2555C" w14:textId="77777777" w:rsidR="00371A9A" w:rsidRDefault="00371A9A" w:rsidP="00161566">
      <w:pPr>
        <w:spacing w:after="0" w:line="240" w:lineRule="auto"/>
        <w:jc w:val="center"/>
      </w:pPr>
    </w:p>
    <w:p w14:paraId="00F8F979" w14:textId="77777777" w:rsidR="00371A9A" w:rsidRDefault="00371A9A" w:rsidP="00161566">
      <w:pPr>
        <w:spacing w:after="0" w:line="240" w:lineRule="auto"/>
        <w:jc w:val="center"/>
      </w:pPr>
    </w:p>
    <w:p w14:paraId="599CDC0D" w14:textId="3A4F73C9" w:rsidR="00027C8F" w:rsidRPr="00027C8F" w:rsidRDefault="00027C8F" w:rsidP="00161566">
      <w:pPr>
        <w:spacing w:after="0" w:line="240" w:lineRule="auto"/>
        <w:jc w:val="center"/>
        <w:rPr>
          <w:b/>
          <w:bCs/>
          <w:sz w:val="48"/>
          <w:szCs w:val="48"/>
        </w:rPr>
      </w:pPr>
      <w:r w:rsidRPr="00027C8F">
        <w:rPr>
          <w:b/>
          <w:bCs/>
          <w:sz w:val="48"/>
          <w:szCs w:val="48"/>
        </w:rPr>
        <w:t>PADM-GP Course Number 2150</w:t>
      </w:r>
    </w:p>
    <w:p w14:paraId="66DAD995" w14:textId="531B4E6F" w:rsidR="00D81F0B" w:rsidRPr="00027C8F" w:rsidRDefault="00B7746C" w:rsidP="00161566">
      <w:pPr>
        <w:spacing w:after="0" w:line="240" w:lineRule="auto"/>
        <w:jc w:val="center"/>
        <w:rPr>
          <w:b/>
          <w:bCs/>
          <w:sz w:val="48"/>
          <w:szCs w:val="48"/>
        </w:rPr>
      </w:pPr>
      <w:r w:rsidRPr="00027C8F">
        <w:rPr>
          <w:b/>
          <w:bCs/>
          <w:sz w:val="48"/>
          <w:szCs w:val="48"/>
        </w:rPr>
        <w:t xml:space="preserve">Financial Markets and Crises </w:t>
      </w:r>
    </w:p>
    <w:p w14:paraId="27B493F4" w14:textId="371BDAF6" w:rsidR="00B7746C" w:rsidRDefault="00B7746C" w:rsidP="00161566">
      <w:pPr>
        <w:spacing w:after="0" w:line="240" w:lineRule="auto"/>
      </w:pPr>
    </w:p>
    <w:p w14:paraId="3C893E2A" w14:textId="77777777" w:rsidR="00371A9A" w:rsidRPr="00371A9A" w:rsidRDefault="00371A9A" w:rsidP="00161566">
      <w:pPr>
        <w:spacing w:after="0" w:line="240" w:lineRule="auto"/>
        <w:jc w:val="both"/>
        <w:rPr>
          <w:b/>
          <w:bCs/>
        </w:rPr>
      </w:pPr>
      <w:r w:rsidRPr="00371A9A">
        <w:rPr>
          <w:b/>
          <w:bCs/>
        </w:rPr>
        <w:t xml:space="preserve">Instructor Information </w:t>
      </w:r>
    </w:p>
    <w:p w14:paraId="5EDCE952" w14:textId="77777777" w:rsidR="00371A9A" w:rsidRDefault="00371A9A" w:rsidP="00161566">
      <w:pPr>
        <w:spacing w:after="0" w:line="240" w:lineRule="auto"/>
        <w:jc w:val="both"/>
      </w:pPr>
      <w:r>
        <w:t xml:space="preserve">Professor: Andrew McKenna </w:t>
      </w:r>
    </w:p>
    <w:p w14:paraId="22E24D0F" w14:textId="77777777" w:rsidR="00371A9A" w:rsidRDefault="00371A9A" w:rsidP="00161566">
      <w:pPr>
        <w:spacing w:after="0" w:line="240" w:lineRule="auto"/>
        <w:jc w:val="both"/>
      </w:pPr>
      <w:r>
        <w:t xml:space="preserve">Email: am8866@nyu.edu </w:t>
      </w:r>
    </w:p>
    <w:p w14:paraId="3085600E" w14:textId="013AA5B0" w:rsidR="00371A9A" w:rsidRDefault="00371A9A" w:rsidP="00161566">
      <w:pPr>
        <w:spacing w:after="0" w:line="240" w:lineRule="auto"/>
        <w:jc w:val="both"/>
      </w:pPr>
      <w:r>
        <w:t xml:space="preserve">Phone: 415-676-0142 </w:t>
      </w:r>
    </w:p>
    <w:p w14:paraId="0CA87565" w14:textId="77777777" w:rsidR="00371A9A" w:rsidRDefault="00371A9A" w:rsidP="00161566">
      <w:pPr>
        <w:spacing w:after="0" w:line="240" w:lineRule="auto"/>
        <w:jc w:val="both"/>
      </w:pPr>
      <w:r>
        <w:t xml:space="preserve">Office Hours: Thursday 5:30-6:30pm and by appointment. </w:t>
      </w:r>
    </w:p>
    <w:p w14:paraId="3139AB8B" w14:textId="77777777" w:rsidR="00371A9A" w:rsidRDefault="00371A9A" w:rsidP="00161566">
      <w:pPr>
        <w:spacing w:after="0" w:line="240" w:lineRule="auto"/>
        <w:jc w:val="both"/>
      </w:pPr>
    </w:p>
    <w:p w14:paraId="4A12213F" w14:textId="77777777" w:rsidR="00371A9A" w:rsidRPr="00371A9A" w:rsidRDefault="00371A9A" w:rsidP="00161566">
      <w:pPr>
        <w:spacing w:after="0" w:line="240" w:lineRule="auto"/>
        <w:jc w:val="both"/>
        <w:rPr>
          <w:b/>
          <w:bCs/>
        </w:rPr>
      </w:pPr>
      <w:r w:rsidRPr="00371A9A">
        <w:rPr>
          <w:b/>
          <w:bCs/>
        </w:rPr>
        <w:t xml:space="preserve">Course Information </w:t>
      </w:r>
    </w:p>
    <w:p w14:paraId="4A90B808" w14:textId="77777777" w:rsidR="00371A9A" w:rsidRDefault="00371A9A" w:rsidP="00161566">
      <w:pPr>
        <w:spacing w:after="0" w:line="240" w:lineRule="auto"/>
        <w:jc w:val="both"/>
      </w:pPr>
      <w:r>
        <w:t xml:space="preserve">Class Meeting Times: Thursdays 6:45-8:25pm </w:t>
      </w:r>
    </w:p>
    <w:p w14:paraId="457FAB46" w14:textId="53E58437" w:rsidR="00371A9A" w:rsidRDefault="00371A9A" w:rsidP="00161566">
      <w:pPr>
        <w:spacing w:after="0" w:line="240" w:lineRule="auto"/>
        <w:jc w:val="both"/>
        <w:rPr>
          <w:b/>
          <w:bCs/>
        </w:rPr>
      </w:pPr>
      <w:r>
        <w:t>Class Location: NYU Global Center for Academic and Spiritual Life, 238 Thompson St. Room 265</w:t>
      </w:r>
    </w:p>
    <w:p w14:paraId="4F54599F" w14:textId="77777777" w:rsidR="00371A9A" w:rsidRDefault="00371A9A" w:rsidP="00161566">
      <w:pPr>
        <w:spacing w:after="0" w:line="240" w:lineRule="auto"/>
        <w:jc w:val="both"/>
        <w:rPr>
          <w:b/>
          <w:bCs/>
        </w:rPr>
      </w:pPr>
    </w:p>
    <w:p w14:paraId="42ABE0F7" w14:textId="4DDA6B54" w:rsidR="00B7746C" w:rsidRPr="00161566" w:rsidRDefault="00B7746C" w:rsidP="00161566">
      <w:pPr>
        <w:spacing w:after="0" w:line="240" w:lineRule="auto"/>
        <w:jc w:val="both"/>
        <w:rPr>
          <w:b/>
          <w:bCs/>
        </w:rPr>
      </w:pPr>
      <w:r w:rsidRPr="00161566">
        <w:rPr>
          <w:b/>
          <w:bCs/>
        </w:rPr>
        <w:t>Course Description</w:t>
      </w:r>
    </w:p>
    <w:p w14:paraId="39EA8B48" w14:textId="3184B4E4" w:rsidR="00B7746C" w:rsidRDefault="00B7746C" w:rsidP="00161566">
      <w:pPr>
        <w:spacing w:after="0" w:line="240" w:lineRule="auto"/>
        <w:jc w:val="both"/>
      </w:pPr>
      <w:r>
        <w:t xml:space="preserve">In this course students will learn the fundamentals of </w:t>
      </w:r>
      <w:r w:rsidR="00DC55AA">
        <w:t>capital markets and risk</w:t>
      </w:r>
      <w:r>
        <w:t xml:space="preserve">. Through readings, lectures, real-world case studies, and assignments, students will gain an understanding of how financial institutions and markets work, the basics of how financial instruments are priced, and then primarily through case studies examine how risk measurement and management failures led to disasters in financial markets, institutions and/or products. </w:t>
      </w:r>
    </w:p>
    <w:p w14:paraId="212B5EF6" w14:textId="77777777" w:rsidR="001A632D" w:rsidRDefault="001A632D" w:rsidP="00161566">
      <w:pPr>
        <w:spacing w:after="0" w:line="240" w:lineRule="auto"/>
        <w:jc w:val="both"/>
      </w:pPr>
    </w:p>
    <w:p w14:paraId="099832AF" w14:textId="77777777" w:rsidR="0025239E" w:rsidRDefault="00B7746C" w:rsidP="00161566">
      <w:pPr>
        <w:spacing w:after="0" w:line="240" w:lineRule="auto"/>
        <w:jc w:val="both"/>
      </w:pPr>
      <w:r>
        <w:t>The introduction to the course will focus on financial institutions. It will cover depository institutions, finance companies, securities firms and investment banks, mutual funds and hedge funds, along with insurance companies. Then, we will cover risk measurement and management, along with specific case studies to illustrate real-world examples of failures. Risk measurement will cover the basic concepts across risk stripes: interest rates, credit, liquidity, FX, sovereign, market</w:t>
      </w:r>
      <w:r w:rsidR="00161566">
        <w:t xml:space="preserve"> and fintech, to name a few. Risk management will cover a variety of concepts related to fundamental risk management practices and capital adequacy.</w:t>
      </w:r>
    </w:p>
    <w:p w14:paraId="58F4C6EE" w14:textId="5A0EEC9D" w:rsidR="00161566" w:rsidRDefault="0025239E" w:rsidP="00161566">
      <w:pPr>
        <w:spacing w:after="0" w:line="240" w:lineRule="auto"/>
        <w:jc w:val="both"/>
      </w:pPr>
      <w:r>
        <w:t xml:space="preserve"> </w:t>
      </w:r>
    </w:p>
    <w:p w14:paraId="4E6E35FC" w14:textId="2D458F4C" w:rsidR="00B7746C" w:rsidRDefault="00161566" w:rsidP="00161566">
      <w:pPr>
        <w:spacing w:after="0" w:line="240" w:lineRule="auto"/>
        <w:jc w:val="both"/>
        <w:rPr>
          <w:b/>
          <w:bCs/>
        </w:rPr>
      </w:pPr>
      <w:r w:rsidRPr="00161566">
        <w:rPr>
          <w:b/>
          <w:bCs/>
        </w:rPr>
        <w:t>Course Objectives</w:t>
      </w:r>
    </w:p>
    <w:p w14:paraId="60972655" w14:textId="29B03AB2" w:rsidR="007368E7" w:rsidRDefault="007368E7" w:rsidP="00161566">
      <w:pPr>
        <w:spacing w:after="0" w:line="240" w:lineRule="auto"/>
        <w:jc w:val="both"/>
      </w:pPr>
      <w:r>
        <w:t xml:space="preserve">By the conclusion of the course, students should be able to: </w:t>
      </w:r>
    </w:p>
    <w:p w14:paraId="68C875BC" w14:textId="23D97F65" w:rsidR="007368E7" w:rsidRDefault="007368E7" w:rsidP="007368E7">
      <w:pPr>
        <w:pStyle w:val="ListParagraph"/>
        <w:numPr>
          <w:ilvl w:val="0"/>
          <w:numId w:val="2"/>
        </w:numPr>
        <w:spacing w:after="0" w:line="240" w:lineRule="auto"/>
        <w:jc w:val="both"/>
      </w:pPr>
      <w:r>
        <w:t>Understand how different financial institutions, markets</w:t>
      </w:r>
      <w:r w:rsidR="00431220">
        <w:t xml:space="preserve">, </w:t>
      </w:r>
      <w:r>
        <w:t xml:space="preserve">and products work, how they are valued and how one can assess the risks associated with them. </w:t>
      </w:r>
    </w:p>
    <w:p w14:paraId="3DF6D207" w14:textId="77777777" w:rsidR="0025239E" w:rsidRDefault="00431220" w:rsidP="0025239E">
      <w:pPr>
        <w:pStyle w:val="ListParagraph"/>
        <w:numPr>
          <w:ilvl w:val="0"/>
          <w:numId w:val="2"/>
        </w:numPr>
        <w:spacing w:after="0" w:line="240" w:lineRule="auto"/>
        <w:jc w:val="both"/>
      </w:pPr>
      <w:r>
        <w:t>Understand various case studies of crises that have occurred related to different institutions, markets, and products, with an ability to diagnose what happened and why.</w:t>
      </w:r>
    </w:p>
    <w:p w14:paraId="0A60B0F6" w14:textId="77777777" w:rsidR="0025239E" w:rsidRDefault="0025239E">
      <w:r>
        <w:br w:type="page"/>
      </w:r>
    </w:p>
    <w:p w14:paraId="08F9A6EE" w14:textId="2498C53B" w:rsidR="007368E7" w:rsidRPr="0025239E" w:rsidRDefault="007368E7" w:rsidP="0025239E">
      <w:pPr>
        <w:spacing w:after="0" w:line="240" w:lineRule="auto"/>
        <w:jc w:val="both"/>
        <w:rPr>
          <w:b/>
          <w:bCs/>
        </w:rPr>
      </w:pPr>
      <w:r w:rsidRPr="0025239E">
        <w:rPr>
          <w:b/>
          <w:bCs/>
        </w:rPr>
        <w:lastRenderedPageBreak/>
        <w:t>Course Prerequisite</w:t>
      </w:r>
    </w:p>
    <w:p w14:paraId="4A371B6F" w14:textId="7AB78ABF" w:rsidR="007368E7" w:rsidRPr="007368E7" w:rsidRDefault="007368E7" w:rsidP="00161566">
      <w:pPr>
        <w:spacing w:after="0" w:line="240" w:lineRule="auto"/>
        <w:jc w:val="both"/>
      </w:pPr>
      <w:r w:rsidRPr="007368E7">
        <w:t>The only prerequisite for this course is a basic familiarity with Excel</w:t>
      </w:r>
      <w:r>
        <w:t xml:space="preserve">, statistics and bond math (time value of money). If you do not have experience with these topics, please contact the course instructor to identify online materials to help you prepare for the class. </w:t>
      </w:r>
    </w:p>
    <w:p w14:paraId="7945F347" w14:textId="77777777" w:rsidR="00161566" w:rsidRDefault="00161566" w:rsidP="00161566">
      <w:pPr>
        <w:spacing w:after="0" w:line="240" w:lineRule="auto"/>
        <w:jc w:val="both"/>
        <w:rPr>
          <w:b/>
          <w:bCs/>
        </w:rPr>
      </w:pPr>
    </w:p>
    <w:p w14:paraId="573B8A20" w14:textId="41807CF1" w:rsidR="00161566" w:rsidRDefault="00161566" w:rsidP="00161566">
      <w:pPr>
        <w:spacing w:after="0" w:line="240" w:lineRule="auto"/>
        <w:jc w:val="both"/>
        <w:rPr>
          <w:b/>
          <w:bCs/>
        </w:rPr>
      </w:pPr>
      <w:r>
        <w:rPr>
          <w:b/>
          <w:bCs/>
        </w:rPr>
        <w:t xml:space="preserve">Course Materials </w:t>
      </w:r>
    </w:p>
    <w:p w14:paraId="1CC71BF9" w14:textId="1840E150" w:rsidR="00161566" w:rsidRPr="00431220" w:rsidRDefault="00431220" w:rsidP="00161566">
      <w:pPr>
        <w:spacing w:after="0" w:line="240" w:lineRule="auto"/>
        <w:jc w:val="both"/>
      </w:pPr>
      <w:r>
        <w:t>The textbook for the course is:</w:t>
      </w:r>
      <w:r w:rsidR="00DC55AA">
        <w:t xml:space="preserve"> Fabozzi, Frank</w:t>
      </w:r>
      <w:r>
        <w:t xml:space="preserve">, </w:t>
      </w:r>
      <w:r w:rsidR="00DC55AA">
        <w:t>Capital Markets</w:t>
      </w:r>
      <w:r w:rsidRPr="00431220">
        <w:t xml:space="preserve">, </w:t>
      </w:r>
      <w:r w:rsidR="00DC55AA">
        <w:t>5</w:t>
      </w:r>
      <w:r w:rsidRPr="00431220">
        <w:t>th Edition</w:t>
      </w:r>
      <w:r>
        <w:t xml:space="preserve">, </w:t>
      </w:r>
      <w:r w:rsidR="00DC55AA">
        <w:t>Massachusetts Institute of Technology</w:t>
      </w:r>
      <w:r>
        <w:t xml:space="preserve">. Additionally, links to other case studies and academic articles can be found below. </w:t>
      </w:r>
    </w:p>
    <w:p w14:paraId="23C34705" w14:textId="2A9547BF" w:rsidR="00431220" w:rsidRDefault="00431220" w:rsidP="00161566">
      <w:pPr>
        <w:spacing w:after="0" w:line="240" w:lineRule="auto"/>
        <w:jc w:val="both"/>
        <w:rPr>
          <w:b/>
          <w:bCs/>
        </w:rPr>
      </w:pPr>
    </w:p>
    <w:p w14:paraId="3BEE23EF" w14:textId="39B91559" w:rsidR="00431220" w:rsidRDefault="00431220" w:rsidP="00161566">
      <w:pPr>
        <w:spacing w:after="0" w:line="240" w:lineRule="auto"/>
        <w:jc w:val="both"/>
        <w:rPr>
          <w:b/>
          <w:bCs/>
        </w:rPr>
      </w:pPr>
      <w:r>
        <w:rPr>
          <w:b/>
          <w:bCs/>
        </w:rPr>
        <w:t>Course Website</w:t>
      </w:r>
    </w:p>
    <w:p w14:paraId="0C74C7CF" w14:textId="0C107E67" w:rsidR="00431220" w:rsidRPr="00431220" w:rsidRDefault="00431220" w:rsidP="00431220">
      <w:pPr>
        <w:spacing w:after="0" w:line="240" w:lineRule="auto"/>
        <w:jc w:val="both"/>
      </w:pPr>
      <w:r w:rsidRPr="00431220">
        <w:t>The course website can be found on NYU Learning Management System (“NYU LMS” or “Brightspace”),</w:t>
      </w:r>
      <w:r>
        <w:t xml:space="preserve"> </w:t>
      </w:r>
      <w:r w:rsidRPr="00431220">
        <w:t>accessible via the “Academics” tab on NYU Global Home</w:t>
      </w:r>
      <w:r>
        <w:t xml:space="preserve"> </w:t>
      </w:r>
      <w:r w:rsidRPr="00431220">
        <w:t>(http://globalhome.nyu.edu). In addition, we will occasionally send emails about course logistics to your NYU email account.</w:t>
      </w:r>
      <w:r>
        <w:t xml:space="preserve"> </w:t>
      </w:r>
      <w:r w:rsidRPr="00431220">
        <w:t>Therefore, you should check both the course website and your NYU email account on a regular basis.</w:t>
      </w:r>
    </w:p>
    <w:p w14:paraId="2D00A98A" w14:textId="77777777" w:rsidR="00431220" w:rsidRDefault="00431220" w:rsidP="00161566">
      <w:pPr>
        <w:spacing w:after="0" w:line="240" w:lineRule="auto"/>
        <w:jc w:val="both"/>
        <w:rPr>
          <w:b/>
          <w:bCs/>
        </w:rPr>
      </w:pPr>
    </w:p>
    <w:p w14:paraId="31146FD5" w14:textId="0B92E0CF" w:rsidR="00161566" w:rsidRDefault="00161566" w:rsidP="00161566">
      <w:pPr>
        <w:spacing w:after="0" w:line="240" w:lineRule="auto"/>
        <w:jc w:val="both"/>
        <w:rPr>
          <w:b/>
          <w:bCs/>
        </w:rPr>
      </w:pPr>
      <w:r>
        <w:rPr>
          <w:b/>
          <w:bCs/>
        </w:rPr>
        <w:t xml:space="preserve">Grading </w:t>
      </w:r>
    </w:p>
    <w:p w14:paraId="44DE2359" w14:textId="264DD66E" w:rsidR="00161566" w:rsidRPr="00161566" w:rsidRDefault="00161566" w:rsidP="00161566">
      <w:pPr>
        <w:spacing w:after="0" w:line="240" w:lineRule="auto"/>
        <w:jc w:val="both"/>
      </w:pPr>
      <w:r w:rsidRPr="00161566">
        <w:t>Reading assignments must be completed before each lecture. Note that you have a reading assignment</w:t>
      </w:r>
      <w:r w:rsidR="00431220">
        <w:t xml:space="preserve"> </w:t>
      </w:r>
      <w:r w:rsidRPr="00161566">
        <w:t>for the first class</w:t>
      </w:r>
      <w:r w:rsidR="005539FF">
        <w:t>.</w:t>
      </w:r>
      <w:r w:rsidRPr="00161566">
        <w:t xml:space="preserve"> You are not required to read the chapter appendices unless specifically noted below. Handout readings can be found on the course website.</w:t>
      </w:r>
    </w:p>
    <w:p w14:paraId="39E0B37D" w14:textId="77777777" w:rsidR="00161566" w:rsidRDefault="00161566" w:rsidP="00161566">
      <w:pPr>
        <w:spacing w:after="0" w:line="240" w:lineRule="auto"/>
        <w:jc w:val="both"/>
      </w:pPr>
    </w:p>
    <w:p w14:paraId="0119EEE1" w14:textId="77777777" w:rsidR="00431220" w:rsidRDefault="00161566" w:rsidP="00161566">
      <w:pPr>
        <w:spacing w:after="0" w:line="240" w:lineRule="auto"/>
        <w:jc w:val="both"/>
      </w:pPr>
      <w:r w:rsidRPr="00161566">
        <w:t>Homework assignments consist primarily of analytical problems based on the previous week’s readings</w:t>
      </w:r>
      <w:r w:rsidR="00431220">
        <w:t xml:space="preserve"> </w:t>
      </w:r>
      <w:r w:rsidRPr="00161566">
        <w:t>and lecture. All assignments can be found on the course website. Solutions will be posted each week after the final lecture has met.</w:t>
      </w:r>
    </w:p>
    <w:p w14:paraId="73D461EB" w14:textId="77777777" w:rsidR="00431220" w:rsidRDefault="00431220" w:rsidP="00161566">
      <w:pPr>
        <w:spacing w:after="0" w:line="240" w:lineRule="auto"/>
        <w:jc w:val="both"/>
      </w:pPr>
    </w:p>
    <w:p w14:paraId="6F7546ED" w14:textId="77777777" w:rsidR="00203FE2" w:rsidRPr="00203FE2" w:rsidRDefault="00203FE2" w:rsidP="00203FE2">
      <w:pPr>
        <w:spacing w:after="0" w:line="240" w:lineRule="auto"/>
        <w:jc w:val="both"/>
        <w:rPr>
          <w:b/>
          <w:bCs/>
        </w:rPr>
      </w:pPr>
      <w:r w:rsidRPr="00203FE2">
        <w:rPr>
          <w:b/>
          <w:bCs/>
        </w:rPr>
        <w:t>Academic Integrity</w:t>
      </w:r>
    </w:p>
    <w:p w14:paraId="7F95623D" w14:textId="3D555E25" w:rsidR="00203FE2" w:rsidRDefault="00203FE2" w:rsidP="00203FE2">
      <w:pPr>
        <w:spacing w:after="0" w:line="240" w:lineRule="auto"/>
        <w:jc w:val="both"/>
      </w:pPr>
      <w:r>
        <w:t>Academic integrity is a vital component of Wagner and NYU. All students enrolled in this class are required to read and abide by Wagner’s Academic Code. All Wagner students have already read and signed the Wagner Academic Oath. Every student is expected to maintain academic integrity and is expected to report violations to their instructor. If you are unsure about what is expected of you, you should ask.</w:t>
      </w:r>
    </w:p>
    <w:p w14:paraId="4F839185" w14:textId="77777777" w:rsidR="00203FE2" w:rsidRDefault="00203FE2" w:rsidP="00161566">
      <w:pPr>
        <w:spacing w:after="0" w:line="240" w:lineRule="auto"/>
        <w:jc w:val="both"/>
      </w:pPr>
    </w:p>
    <w:p w14:paraId="2839A6A9" w14:textId="77777777" w:rsidR="00431220" w:rsidRPr="00431220" w:rsidRDefault="00431220" w:rsidP="00431220">
      <w:pPr>
        <w:spacing w:after="0" w:line="240" w:lineRule="auto"/>
        <w:jc w:val="both"/>
        <w:rPr>
          <w:b/>
          <w:bCs/>
        </w:rPr>
      </w:pPr>
      <w:r w:rsidRPr="00431220">
        <w:rPr>
          <w:b/>
          <w:bCs/>
        </w:rPr>
        <w:t>Grading</w:t>
      </w:r>
    </w:p>
    <w:p w14:paraId="2014CE40" w14:textId="1A9E74D0" w:rsidR="00431220" w:rsidRDefault="00431220" w:rsidP="00431220">
      <w:pPr>
        <w:spacing w:after="0" w:line="240" w:lineRule="auto"/>
        <w:jc w:val="both"/>
      </w:pPr>
      <w:r>
        <w:t>Your course grade will be determined as follows:</w:t>
      </w:r>
    </w:p>
    <w:p w14:paraId="4BF421C2" w14:textId="77777777" w:rsidR="00431220" w:rsidRDefault="00431220" w:rsidP="00431220">
      <w:pPr>
        <w:spacing w:after="0" w:line="240" w:lineRule="auto"/>
        <w:jc w:val="both"/>
      </w:pPr>
    </w:p>
    <w:tbl>
      <w:tblPr>
        <w:tblStyle w:val="TableGrid"/>
        <w:tblW w:w="0" w:type="auto"/>
        <w:tblLook w:val="04A0" w:firstRow="1" w:lastRow="0" w:firstColumn="1" w:lastColumn="0" w:noHBand="0" w:noVBand="1"/>
      </w:tblPr>
      <w:tblGrid>
        <w:gridCol w:w="1885"/>
        <w:gridCol w:w="5940"/>
        <w:gridCol w:w="1525"/>
      </w:tblGrid>
      <w:tr w:rsidR="00394120" w14:paraId="4943C906" w14:textId="77777777" w:rsidTr="00394120">
        <w:tc>
          <w:tcPr>
            <w:tcW w:w="1885" w:type="dxa"/>
          </w:tcPr>
          <w:p w14:paraId="1F51F113" w14:textId="18F71858" w:rsidR="00394120" w:rsidRPr="00394120" w:rsidRDefault="00394120" w:rsidP="00394120">
            <w:pPr>
              <w:jc w:val="center"/>
              <w:rPr>
                <w:b/>
                <w:bCs/>
              </w:rPr>
            </w:pPr>
            <w:r w:rsidRPr="00394120">
              <w:rPr>
                <w:b/>
                <w:bCs/>
              </w:rPr>
              <w:t>Component</w:t>
            </w:r>
          </w:p>
        </w:tc>
        <w:tc>
          <w:tcPr>
            <w:tcW w:w="5940" w:type="dxa"/>
          </w:tcPr>
          <w:p w14:paraId="259A2718" w14:textId="63ED7C7C" w:rsidR="00394120" w:rsidRPr="00394120" w:rsidRDefault="00394120" w:rsidP="00394120">
            <w:pPr>
              <w:jc w:val="center"/>
              <w:rPr>
                <w:b/>
                <w:bCs/>
              </w:rPr>
            </w:pPr>
            <w:r w:rsidRPr="00394120">
              <w:rPr>
                <w:b/>
                <w:bCs/>
              </w:rPr>
              <w:t>Description</w:t>
            </w:r>
          </w:p>
        </w:tc>
        <w:tc>
          <w:tcPr>
            <w:tcW w:w="1525" w:type="dxa"/>
          </w:tcPr>
          <w:p w14:paraId="25DA783F" w14:textId="0A08C4F2" w:rsidR="00394120" w:rsidRPr="00394120" w:rsidRDefault="00394120" w:rsidP="00394120">
            <w:pPr>
              <w:jc w:val="center"/>
              <w:rPr>
                <w:b/>
                <w:bCs/>
              </w:rPr>
            </w:pPr>
            <w:r w:rsidRPr="00394120">
              <w:rPr>
                <w:b/>
                <w:bCs/>
              </w:rPr>
              <w:t>Weight</w:t>
            </w:r>
          </w:p>
        </w:tc>
      </w:tr>
      <w:tr w:rsidR="00394120" w14:paraId="03B8AEFD" w14:textId="77777777" w:rsidTr="00394120">
        <w:tc>
          <w:tcPr>
            <w:tcW w:w="1885" w:type="dxa"/>
          </w:tcPr>
          <w:p w14:paraId="4883D79A" w14:textId="6D9FD059" w:rsidR="00394120" w:rsidRDefault="00394120" w:rsidP="00394120">
            <w:pPr>
              <w:jc w:val="center"/>
            </w:pPr>
            <w:r>
              <w:t>Participation</w:t>
            </w:r>
          </w:p>
        </w:tc>
        <w:tc>
          <w:tcPr>
            <w:tcW w:w="5940" w:type="dxa"/>
          </w:tcPr>
          <w:p w14:paraId="04F3026B" w14:textId="4E63BD71" w:rsidR="00394120" w:rsidRDefault="00394120" w:rsidP="00394120">
            <w:pPr>
              <w:jc w:val="center"/>
            </w:pPr>
            <w:r>
              <w:t>Attendance and engagement in class (i.e., questions and comments)</w:t>
            </w:r>
            <w:r w:rsidR="00954DC4">
              <w:t xml:space="preserve">. </w:t>
            </w:r>
          </w:p>
        </w:tc>
        <w:tc>
          <w:tcPr>
            <w:tcW w:w="1525" w:type="dxa"/>
          </w:tcPr>
          <w:p w14:paraId="79B083AE" w14:textId="14D36F1F" w:rsidR="00394120" w:rsidRDefault="00954DC4" w:rsidP="00394120">
            <w:pPr>
              <w:jc w:val="center"/>
            </w:pPr>
            <w:r>
              <w:t>2</w:t>
            </w:r>
            <w:r w:rsidR="00394120">
              <w:t>0%</w:t>
            </w:r>
          </w:p>
        </w:tc>
      </w:tr>
      <w:tr w:rsidR="00394120" w14:paraId="3B0D149B" w14:textId="77777777" w:rsidTr="00394120">
        <w:tc>
          <w:tcPr>
            <w:tcW w:w="1885" w:type="dxa"/>
          </w:tcPr>
          <w:p w14:paraId="530D6607" w14:textId="062B7923" w:rsidR="00394120" w:rsidRDefault="00394120" w:rsidP="00394120">
            <w:pPr>
              <w:jc w:val="center"/>
            </w:pPr>
            <w:r>
              <w:t>Online discussion</w:t>
            </w:r>
          </w:p>
        </w:tc>
        <w:tc>
          <w:tcPr>
            <w:tcW w:w="5940" w:type="dxa"/>
          </w:tcPr>
          <w:p w14:paraId="440FF954" w14:textId="1020FE6D" w:rsidR="00394120" w:rsidRDefault="00394120" w:rsidP="00394120">
            <w:pPr>
              <w:jc w:val="center"/>
            </w:pPr>
            <w:r>
              <w:t>Each week, we will discuss current events and topics. Each student will select one week to identify a topic</w:t>
            </w:r>
            <w:r w:rsidR="00DB4FF4">
              <w:t xml:space="preserve"> and one regulatory agency to discuss. </w:t>
            </w:r>
          </w:p>
        </w:tc>
        <w:tc>
          <w:tcPr>
            <w:tcW w:w="1525" w:type="dxa"/>
          </w:tcPr>
          <w:p w14:paraId="33DCDCBD" w14:textId="7F6DA802" w:rsidR="00394120" w:rsidRDefault="00394120" w:rsidP="00394120">
            <w:pPr>
              <w:jc w:val="center"/>
            </w:pPr>
            <w:r>
              <w:t>10%</w:t>
            </w:r>
          </w:p>
        </w:tc>
      </w:tr>
      <w:tr w:rsidR="00394120" w14:paraId="3CAB8445" w14:textId="77777777" w:rsidTr="00394120">
        <w:tc>
          <w:tcPr>
            <w:tcW w:w="1885" w:type="dxa"/>
          </w:tcPr>
          <w:p w14:paraId="3F88E66D" w14:textId="399534C1" w:rsidR="00394120" w:rsidRDefault="00394120" w:rsidP="00394120">
            <w:pPr>
              <w:jc w:val="center"/>
            </w:pPr>
            <w:r>
              <w:t>Policy briefs</w:t>
            </w:r>
          </w:p>
        </w:tc>
        <w:tc>
          <w:tcPr>
            <w:tcW w:w="5940" w:type="dxa"/>
          </w:tcPr>
          <w:p w14:paraId="01FCC29C" w14:textId="2CF5BE91" w:rsidR="00394120" w:rsidRDefault="00394120" w:rsidP="00394120">
            <w:pPr>
              <w:jc w:val="center"/>
            </w:pPr>
            <w:r>
              <w:t xml:space="preserve">Each student will write two </w:t>
            </w:r>
            <w:proofErr w:type="gramStart"/>
            <w:r>
              <w:t>3-5 page</w:t>
            </w:r>
            <w:proofErr w:type="gramEnd"/>
            <w:r>
              <w:t xml:space="preserve"> policy briefs that are intended for a senior policymaker. </w:t>
            </w:r>
          </w:p>
        </w:tc>
        <w:tc>
          <w:tcPr>
            <w:tcW w:w="1525" w:type="dxa"/>
          </w:tcPr>
          <w:p w14:paraId="58C29A6F" w14:textId="47E87E6B" w:rsidR="00394120" w:rsidRDefault="00954DC4" w:rsidP="00394120">
            <w:pPr>
              <w:jc w:val="center"/>
            </w:pPr>
            <w:r>
              <w:t>3</w:t>
            </w:r>
            <w:r w:rsidR="00394120">
              <w:t>0%</w:t>
            </w:r>
          </w:p>
        </w:tc>
      </w:tr>
      <w:tr w:rsidR="00394120" w14:paraId="53481FC8" w14:textId="77777777" w:rsidTr="00394120">
        <w:tc>
          <w:tcPr>
            <w:tcW w:w="1885" w:type="dxa"/>
          </w:tcPr>
          <w:p w14:paraId="5D797873" w14:textId="3D6573E2" w:rsidR="00394120" w:rsidRDefault="00954DC4" w:rsidP="00394120">
            <w:pPr>
              <w:jc w:val="center"/>
            </w:pPr>
            <w:r>
              <w:t>Group</w:t>
            </w:r>
            <w:r w:rsidR="00394120">
              <w:t xml:space="preserve"> project</w:t>
            </w:r>
          </w:p>
        </w:tc>
        <w:tc>
          <w:tcPr>
            <w:tcW w:w="5940" w:type="dxa"/>
          </w:tcPr>
          <w:p w14:paraId="180EC3A6" w14:textId="0A91435A" w:rsidR="00394120" w:rsidRDefault="00394120" w:rsidP="00394120">
            <w:pPr>
              <w:jc w:val="center"/>
            </w:pPr>
            <w:r>
              <w:t xml:space="preserve">Each student will work collaboratively with 2-3 other students on a team to present on and facilitate discussion on one financial markets crisis topic. </w:t>
            </w:r>
          </w:p>
        </w:tc>
        <w:tc>
          <w:tcPr>
            <w:tcW w:w="1525" w:type="dxa"/>
          </w:tcPr>
          <w:p w14:paraId="0974720D" w14:textId="302C0481" w:rsidR="00394120" w:rsidRDefault="00394120" w:rsidP="00394120">
            <w:pPr>
              <w:jc w:val="center"/>
            </w:pPr>
            <w:r>
              <w:t>20%</w:t>
            </w:r>
          </w:p>
        </w:tc>
      </w:tr>
      <w:tr w:rsidR="00394120" w14:paraId="61B5842A" w14:textId="77777777" w:rsidTr="00394120">
        <w:tc>
          <w:tcPr>
            <w:tcW w:w="1885" w:type="dxa"/>
          </w:tcPr>
          <w:p w14:paraId="69BF71BA" w14:textId="6C08A769" w:rsidR="00394120" w:rsidRDefault="00394120" w:rsidP="00394120">
            <w:pPr>
              <w:jc w:val="center"/>
            </w:pPr>
            <w:r>
              <w:t>Final project</w:t>
            </w:r>
          </w:p>
        </w:tc>
        <w:tc>
          <w:tcPr>
            <w:tcW w:w="5940" w:type="dxa"/>
          </w:tcPr>
          <w:p w14:paraId="707AD2D8" w14:textId="5581FA61" w:rsidR="00394120" w:rsidRDefault="00394120" w:rsidP="00394120">
            <w:pPr>
              <w:jc w:val="center"/>
            </w:pPr>
            <w:r>
              <w:t xml:space="preserve">Individual presentation on a selected topic with an associated </w:t>
            </w:r>
            <w:proofErr w:type="gramStart"/>
            <w:r>
              <w:t>5 page</w:t>
            </w:r>
            <w:proofErr w:type="gramEnd"/>
            <w:r>
              <w:t xml:space="preserve"> paper. </w:t>
            </w:r>
            <w:r w:rsidR="00836598">
              <w:t>A list of potential options will be sent around or you can select your own.</w:t>
            </w:r>
          </w:p>
        </w:tc>
        <w:tc>
          <w:tcPr>
            <w:tcW w:w="1525" w:type="dxa"/>
          </w:tcPr>
          <w:p w14:paraId="32F7A659" w14:textId="07BA0ECD" w:rsidR="00394120" w:rsidRDefault="00954DC4" w:rsidP="00394120">
            <w:pPr>
              <w:jc w:val="center"/>
            </w:pPr>
            <w:r>
              <w:t>2</w:t>
            </w:r>
            <w:r w:rsidR="00394120">
              <w:t>0%</w:t>
            </w:r>
          </w:p>
        </w:tc>
      </w:tr>
    </w:tbl>
    <w:p w14:paraId="6490E4FD" w14:textId="77777777" w:rsidR="00394120" w:rsidRDefault="00394120" w:rsidP="00431220">
      <w:pPr>
        <w:spacing w:after="0" w:line="240" w:lineRule="auto"/>
        <w:jc w:val="both"/>
      </w:pPr>
    </w:p>
    <w:p w14:paraId="345FCF5D" w14:textId="77777777" w:rsidR="00431220" w:rsidRDefault="00431220" w:rsidP="00161566">
      <w:pPr>
        <w:spacing w:after="0" w:line="240" w:lineRule="auto"/>
        <w:jc w:val="both"/>
      </w:pPr>
    </w:p>
    <w:p w14:paraId="488B637D" w14:textId="5B126090" w:rsidR="00BB71D1" w:rsidRDefault="00BB71D1" w:rsidP="00161566">
      <w:pPr>
        <w:spacing w:after="0" w:line="240" w:lineRule="auto"/>
        <w:jc w:val="both"/>
        <w:rPr>
          <w:b/>
          <w:bCs/>
        </w:rPr>
      </w:pPr>
      <w:bookmarkStart w:id="0" w:name="_Hlk157081305"/>
      <w:r>
        <w:rPr>
          <w:b/>
          <w:bCs/>
        </w:rPr>
        <w:t>Weekly class coverage</w:t>
      </w:r>
    </w:p>
    <w:tbl>
      <w:tblPr>
        <w:tblStyle w:val="TableGrid"/>
        <w:tblW w:w="9355" w:type="dxa"/>
        <w:tblLook w:val="04A0" w:firstRow="1" w:lastRow="0" w:firstColumn="1" w:lastColumn="0" w:noHBand="0" w:noVBand="1"/>
      </w:tblPr>
      <w:tblGrid>
        <w:gridCol w:w="1795"/>
        <w:gridCol w:w="7560"/>
      </w:tblGrid>
      <w:tr w:rsidR="00027C8F" w14:paraId="46C92360" w14:textId="77777777" w:rsidTr="00027C8F">
        <w:tc>
          <w:tcPr>
            <w:tcW w:w="1795" w:type="dxa"/>
          </w:tcPr>
          <w:p w14:paraId="6AC848DF" w14:textId="610968BF" w:rsidR="00027C8F" w:rsidRDefault="00027C8F" w:rsidP="0097074C">
            <w:pPr>
              <w:rPr>
                <w:b/>
                <w:bCs/>
              </w:rPr>
            </w:pPr>
            <w:r>
              <w:rPr>
                <w:b/>
                <w:bCs/>
              </w:rPr>
              <w:t xml:space="preserve">Class </w:t>
            </w:r>
          </w:p>
        </w:tc>
        <w:tc>
          <w:tcPr>
            <w:tcW w:w="7560" w:type="dxa"/>
          </w:tcPr>
          <w:p w14:paraId="20A07B04" w14:textId="56C0C787" w:rsidR="00027C8F" w:rsidRDefault="00027C8F" w:rsidP="0097074C">
            <w:pPr>
              <w:rPr>
                <w:b/>
                <w:bCs/>
              </w:rPr>
            </w:pPr>
            <w:r>
              <w:rPr>
                <w:b/>
                <w:bCs/>
              </w:rPr>
              <w:t>Topics covered</w:t>
            </w:r>
          </w:p>
        </w:tc>
      </w:tr>
      <w:tr w:rsidR="00027C8F" w14:paraId="5782A6BA" w14:textId="77777777" w:rsidTr="00027C8F">
        <w:tc>
          <w:tcPr>
            <w:tcW w:w="1795" w:type="dxa"/>
          </w:tcPr>
          <w:p w14:paraId="2D5EE22F" w14:textId="5C6972AE" w:rsidR="00027C8F" w:rsidRPr="0097074C" w:rsidRDefault="00027C8F" w:rsidP="0097074C">
            <w:r w:rsidRPr="0097074C">
              <w:t>#1</w:t>
            </w:r>
          </w:p>
        </w:tc>
        <w:tc>
          <w:tcPr>
            <w:tcW w:w="7560" w:type="dxa"/>
          </w:tcPr>
          <w:p w14:paraId="3CC0DD52" w14:textId="77777777" w:rsidR="00027C8F" w:rsidRDefault="00027C8F" w:rsidP="0097074C">
            <w:pPr>
              <w:pStyle w:val="ListParagraph"/>
              <w:numPr>
                <w:ilvl w:val="0"/>
                <w:numId w:val="4"/>
              </w:numPr>
            </w:pPr>
            <w:r>
              <w:t>Syllabus walkthrough and grading discussion</w:t>
            </w:r>
          </w:p>
          <w:p w14:paraId="2C17E36B" w14:textId="56DEBA2F" w:rsidR="00027C8F" w:rsidRPr="0097074C" w:rsidRDefault="00027C8F" w:rsidP="0097074C">
            <w:pPr>
              <w:pStyle w:val="ListParagraph"/>
              <w:numPr>
                <w:ilvl w:val="0"/>
                <w:numId w:val="4"/>
              </w:numPr>
            </w:pPr>
            <w:r>
              <w:t xml:space="preserve">Overview of capital markets </w:t>
            </w:r>
          </w:p>
        </w:tc>
      </w:tr>
      <w:tr w:rsidR="00027C8F" w14:paraId="6E1B9469" w14:textId="77777777" w:rsidTr="00027C8F">
        <w:tc>
          <w:tcPr>
            <w:tcW w:w="1795" w:type="dxa"/>
          </w:tcPr>
          <w:p w14:paraId="4A430BC1" w14:textId="32C226AB" w:rsidR="00027C8F" w:rsidRPr="0097074C" w:rsidRDefault="00027C8F" w:rsidP="0097074C">
            <w:r>
              <w:t>#2</w:t>
            </w:r>
          </w:p>
        </w:tc>
        <w:tc>
          <w:tcPr>
            <w:tcW w:w="7560" w:type="dxa"/>
          </w:tcPr>
          <w:p w14:paraId="165D7CF2" w14:textId="1941C925" w:rsidR="00027C8F" w:rsidRDefault="00027C8F" w:rsidP="0097074C">
            <w:pPr>
              <w:pStyle w:val="ListParagraph"/>
              <w:numPr>
                <w:ilvl w:val="0"/>
                <w:numId w:val="5"/>
              </w:numPr>
            </w:pPr>
            <w:r>
              <w:t>Financial assets and markets overview</w:t>
            </w:r>
          </w:p>
          <w:p w14:paraId="1B8F0DBC" w14:textId="77777777" w:rsidR="00027C8F" w:rsidRDefault="00027C8F" w:rsidP="0097074C">
            <w:pPr>
              <w:pStyle w:val="ListParagraph"/>
              <w:numPr>
                <w:ilvl w:val="0"/>
                <w:numId w:val="5"/>
              </w:numPr>
            </w:pPr>
            <w:r>
              <w:t>Risks and risk management</w:t>
            </w:r>
          </w:p>
          <w:p w14:paraId="0926D152" w14:textId="518057AB" w:rsidR="00027C8F" w:rsidRPr="0097074C" w:rsidRDefault="00027C8F" w:rsidP="0097074C">
            <w:pPr>
              <w:pStyle w:val="ListParagraph"/>
              <w:numPr>
                <w:ilvl w:val="0"/>
                <w:numId w:val="5"/>
              </w:numPr>
            </w:pPr>
            <w:r>
              <w:t>Market participants</w:t>
            </w:r>
          </w:p>
        </w:tc>
      </w:tr>
      <w:tr w:rsidR="00027C8F" w14:paraId="3FF47F74" w14:textId="77777777" w:rsidTr="00027C8F">
        <w:tc>
          <w:tcPr>
            <w:tcW w:w="1795" w:type="dxa"/>
          </w:tcPr>
          <w:p w14:paraId="32B25119" w14:textId="6BD5B2EA" w:rsidR="00027C8F" w:rsidRDefault="00027C8F" w:rsidP="00757C0A">
            <w:r>
              <w:t>#3</w:t>
            </w:r>
          </w:p>
        </w:tc>
        <w:tc>
          <w:tcPr>
            <w:tcW w:w="7560" w:type="dxa"/>
          </w:tcPr>
          <w:p w14:paraId="7DDE0877" w14:textId="718E42F1" w:rsidR="00027C8F" w:rsidRDefault="00027C8F" w:rsidP="00E63C28">
            <w:pPr>
              <w:pStyle w:val="ListParagraph"/>
              <w:numPr>
                <w:ilvl w:val="0"/>
                <w:numId w:val="5"/>
              </w:numPr>
            </w:pPr>
            <w:r>
              <w:t xml:space="preserve">Depository institutions </w:t>
            </w:r>
          </w:p>
        </w:tc>
      </w:tr>
      <w:tr w:rsidR="00027C8F" w14:paraId="1E336D9F" w14:textId="77777777" w:rsidTr="00027C8F">
        <w:tc>
          <w:tcPr>
            <w:tcW w:w="1795" w:type="dxa"/>
          </w:tcPr>
          <w:p w14:paraId="5D05E3B3" w14:textId="65DF6314" w:rsidR="00027C8F" w:rsidRDefault="00027C8F" w:rsidP="00757C0A">
            <w:r>
              <w:t>#4</w:t>
            </w:r>
          </w:p>
        </w:tc>
        <w:tc>
          <w:tcPr>
            <w:tcW w:w="7560" w:type="dxa"/>
          </w:tcPr>
          <w:p w14:paraId="45FD285D" w14:textId="7F84500F" w:rsidR="00027C8F" w:rsidRDefault="00027C8F" w:rsidP="00757C0A">
            <w:pPr>
              <w:pStyle w:val="ListParagraph"/>
              <w:numPr>
                <w:ilvl w:val="0"/>
                <w:numId w:val="5"/>
              </w:numPr>
            </w:pPr>
            <w:r>
              <w:t xml:space="preserve">Managers of collective investment vehicles </w:t>
            </w:r>
          </w:p>
        </w:tc>
      </w:tr>
      <w:tr w:rsidR="00027C8F" w14:paraId="7BFA26D8" w14:textId="77777777" w:rsidTr="00027C8F">
        <w:tc>
          <w:tcPr>
            <w:tcW w:w="1795" w:type="dxa"/>
          </w:tcPr>
          <w:p w14:paraId="2123BAF1" w14:textId="17F71E32" w:rsidR="00027C8F" w:rsidRDefault="00027C8F" w:rsidP="00757C0A">
            <w:r>
              <w:t>#5</w:t>
            </w:r>
          </w:p>
        </w:tc>
        <w:tc>
          <w:tcPr>
            <w:tcW w:w="7560" w:type="dxa"/>
          </w:tcPr>
          <w:p w14:paraId="72C77741" w14:textId="18386A41" w:rsidR="00027C8F" w:rsidRDefault="00027C8F" w:rsidP="00757C0A">
            <w:pPr>
              <w:pStyle w:val="ListParagraph"/>
              <w:numPr>
                <w:ilvl w:val="0"/>
                <w:numId w:val="5"/>
              </w:numPr>
              <w:jc w:val="both"/>
            </w:pPr>
            <w:r>
              <w:t>Primary and secondary markets</w:t>
            </w:r>
          </w:p>
        </w:tc>
      </w:tr>
      <w:tr w:rsidR="00027C8F" w14:paraId="3A4A4730" w14:textId="77777777" w:rsidTr="00027C8F">
        <w:tc>
          <w:tcPr>
            <w:tcW w:w="1795" w:type="dxa"/>
          </w:tcPr>
          <w:p w14:paraId="76BF7F04" w14:textId="585F344E" w:rsidR="00027C8F" w:rsidRDefault="00027C8F" w:rsidP="00757C0A">
            <w:r>
              <w:t>#6</w:t>
            </w:r>
          </w:p>
        </w:tc>
        <w:tc>
          <w:tcPr>
            <w:tcW w:w="7560" w:type="dxa"/>
          </w:tcPr>
          <w:p w14:paraId="2B78AE7F" w14:textId="1FEED073" w:rsidR="00027C8F" w:rsidRDefault="00027C8F" w:rsidP="00757C0A">
            <w:pPr>
              <w:pStyle w:val="ListParagraph"/>
              <w:numPr>
                <w:ilvl w:val="0"/>
                <w:numId w:val="5"/>
              </w:numPr>
              <w:jc w:val="both"/>
            </w:pPr>
            <w:r>
              <w:t>Equity markets</w:t>
            </w:r>
          </w:p>
        </w:tc>
      </w:tr>
      <w:tr w:rsidR="00027C8F" w14:paraId="5FB09353" w14:textId="77777777" w:rsidTr="00027C8F">
        <w:tc>
          <w:tcPr>
            <w:tcW w:w="1795" w:type="dxa"/>
          </w:tcPr>
          <w:p w14:paraId="72237CB3" w14:textId="60098A71" w:rsidR="00027C8F" w:rsidRDefault="00027C8F" w:rsidP="00757C0A">
            <w:r>
              <w:t>#7</w:t>
            </w:r>
          </w:p>
        </w:tc>
        <w:tc>
          <w:tcPr>
            <w:tcW w:w="7560" w:type="dxa"/>
          </w:tcPr>
          <w:p w14:paraId="0D0E0A3E" w14:textId="77777777" w:rsidR="00027C8F" w:rsidRDefault="00027C8F" w:rsidP="00757C0A">
            <w:pPr>
              <w:pStyle w:val="ListParagraph"/>
              <w:numPr>
                <w:ilvl w:val="0"/>
                <w:numId w:val="5"/>
              </w:numPr>
              <w:jc w:val="both"/>
            </w:pPr>
            <w:r>
              <w:t>Debt markets</w:t>
            </w:r>
          </w:p>
          <w:p w14:paraId="5673C3BB" w14:textId="433107DF" w:rsidR="00027C8F" w:rsidRDefault="00027C8F" w:rsidP="00757C0A">
            <w:pPr>
              <w:pStyle w:val="ListParagraph"/>
              <w:numPr>
                <w:ilvl w:val="0"/>
                <w:numId w:val="5"/>
              </w:numPr>
              <w:jc w:val="both"/>
            </w:pPr>
            <w:r>
              <w:t>Residential mortgage markets</w:t>
            </w:r>
          </w:p>
        </w:tc>
      </w:tr>
      <w:tr w:rsidR="00027C8F" w14:paraId="14C9EBFE" w14:textId="77777777" w:rsidTr="00027C8F">
        <w:tc>
          <w:tcPr>
            <w:tcW w:w="1795" w:type="dxa"/>
          </w:tcPr>
          <w:p w14:paraId="47B8F673" w14:textId="71A9FAE2" w:rsidR="00027C8F" w:rsidRDefault="00027C8F" w:rsidP="00757C0A">
            <w:r>
              <w:t xml:space="preserve">#8 </w:t>
            </w:r>
          </w:p>
        </w:tc>
        <w:tc>
          <w:tcPr>
            <w:tcW w:w="7560" w:type="dxa"/>
          </w:tcPr>
          <w:p w14:paraId="1DD36CBA" w14:textId="43C35F5E" w:rsidR="00027C8F" w:rsidRDefault="00027C8F" w:rsidP="00757C0A">
            <w:pPr>
              <w:pStyle w:val="ListParagraph"/>
              <w:numPr>
                <w:ilvl w:val="0"/>
                <w:numId w:val="5"/>
              </w:numPr>
              <w:jc w:val="both"/>
            </w:pPr>
            <w:r>
              <w:t>Group presentations</w:t>
            </w:r>
          </w:p>
        </w:tc>
      </w:tr>
      <w:tr w:rsidR="00027C8F" w14:paraId="6B43C6C4" w14:textId="77777777" w:rsidTr="00027C8F">
        <w:tc>
          <w:tcPr>
            <w:tcW w:w="1795" w:type="dxa"/>
          </w:tcPr>
          <w:p w14:paraId="23EC39AA" w14:textId="3B36AC30" w:rsidR="00027C8F" w:rsidRDefault="00027C8F" w:rsidP="00757C0A">
            <w:r>
              <w:t>#9</w:t>
            </w:r>
          </w:p>
        </w:tc>
        <w:tc>
          <w:tcPr>
            <w:tcW w:w="7560" w:type="dxa"/>
          </w:tcPr>
          <w:p w14:paraId="386CE72E" w14:textId="3D4FCB6D" w:rsidR="00027C8F" w:rsidRDefault="00027C8F" w:rsidP="00757C0A">
            <w:pPr>
              <w:pStyle w:val="ListParagraph"/>
              <w:numPr>
                <w:ilvl w:val="0"/>
                <w:numId w:val="5"/>
              </w:numPr>
              <w:jc w:val="both"/>
            </w:pPr>
            <w:r>
              <w:t>Securitization</w:t>
            </w:r>
          </w:p>
        </w:tc>
      </w:tr>
      <w:tr w:rsidR="00027C8F" w14:paraId="0FD642A9" w14:textId="77777777" w:rsidTr="00027C8F">
        <w:tc>
          <w:tcPr>
            <w:tcW w:w="1795" w:type="dxa"/>
          </w:tcPr>
          <w:p w14:paraId="46895A06" w14:textId="20AF0437" w:rsidR="00027C8F" w:rsidRDefault="00027C8F" w:rsidP="00757C0A">
            <w:r>
              <w:t>#10</w:t>
            </w:r>
          </w:p>
        </w:tc>
        <w:tc>
          <w:tcPr>
            <w:tcW w:w="7560" w:type="dxa"/>
          </w:tcPr>
          <w:p w14:paraId="1E4F6BF4" w14:textId="3886B4A5" w:rsidR="00027C8F" w:rsidRDefault="00027C8F" w:rsidP="00757C0A">
            <w:pPr>
              <w:pStyle w:val="ListParagraph"/>
              <w:numPr>
                <w:ilvl w:val="0"/>
                <w:numId w:val="5"/>
              </w:numPr>
              <w:jc w:val="both"/>
            </w:pPr>
            <w:r>
              <w:t>Introduction to derivatives</w:t>
            </w:r>
          </w:p>
        </w:tc>
      </w:tr>
      <w:tr w:rsidR="00027C8F" w14:paraId="24965F6E" w14:textId="77777777" w:rsidTr="00027C8F">
        <w:tc>
          <w:tcPr>
            <w:tcW w:w="1795" w:type="dxa"/>
          </w:tcPr>
          <w:p w14:paraId="4C145ED5" w14:textId="2F76CA01" w:rsidR="00027C8F" w:rsidRDefault="00027C8F" w:rsidP="00757C0A">
            <w:r>
              <w:t>#11</w:t>
            </w:r>
          </w:p>
        </w:tc>
        <w:tc>
          <w:tcPr>
            <w:tcW w:w="7560" w:type="dxa"/>
          </w:tcPr>
          <w:p w14:paraId="4486FA94" w14:textId="6AC6E08B" w:rsidR="00027C8F" w:rsidRDefault="00027C8F" w:rsidP="00E9776F">
            <w:pPr>
              <w:pStyle w:val="ListParagraph"/>
              <w:numPr>
                <w:ilvl w:val="0"/>
                <w:numId w:val="14"/>
              </w:numPr>
              <w:jc w:val="both"/>
            </w:pPr>
            <w:r>
              <w:t>Investment banks</w:t>
            </w:r>
          </w:p>
        </w:tc>
      </w:tr>
      <w:tr w:rsidR="00027C8F" w14:paraId="4523CA57" w14:textId="77777777" w:rsidTr="00027C8F">
        <w:tc>
          <w:tcPr>
            <w:tcW w:w="1795" w:type="dxa"/>
          </w:tcPr>
          <w:p w14:paraId="55D1175D" w14:textId="203E00A4" w:rsidR="00027C8F" w:rsidRDefault="00027C8F" w:rsidP="00757C0A">
            <w:r>
              <w:t>#13</w:t>
            </w:r>
          </w:p>
        </w:tc>
        <w:tc>
          <w:tcPr>
            <w:tcW w:w="7560" w:type="dxa"/>
          </w:tcPr>
          <w:p w14:paraId="517A3EC6" w14:textId="0A42A8B9" w:rsidR="00027C8F" w:rsidRDefault="00027C8F" w:rsidP="00911E50">
            <w:pPr>
              <w:pStyle w:val="ListParagraph"/>
              <w:numPr>
                <w:ilvl w:val="0"/>
                <w:numId w:val="5"/>
              </w:numPr>
              <w:jc w:val="both"/>
            </w:pPr>
            <w:r>
              <w:t>Case study: JP Morgan London Whale</w:t>
            </w:r>
          </w:p>
        </w:tc>
      </w:tr>
      <w:tr w:rsidR="00027C8F" w14:paraId="5963BA08" w14:textId="77777777" w:rsidTr="00027C8F">
        <w:tc>
          <w:tcPr>
            <w:tcW w:w="1795" w:type="dxa"/>
          </w:tcPr>
          <w:p w14:paraId="47E164F0" w14:textId="3F1E503F" w:rsidR="00027C8F" w:rsidRDefault="00027C8F" w:rsidP="00757C0A">
            <w:r>
              <w:t>#13 and 14</w:t>
            </w:r>
          </w:p>
        </w:tc>
        <w:tc>
          <w:tcPr>
            <w:tcW w:w="7560" w:type="dxa"/>
          </w:tcPr>
          <w:p w14:paraId="2CEA32F7" w14:textId="5A5FB59E" w:rsidR="00027C8F" w:rsidRDefault="00027C8F" w:rsidP="00027C8F">
            <w:pPr>
              <w:pStyle w:val="ListParagraph"/>
              <w:numPr>
                <w:ilvl w:val="0"/>
                <w:numId w:val="5"/>
              </w:numPr>
              <w:jc w:val="both"/>
            </w:pPr>
            <w:r>
              <w:t xml:space="preserve">Final presentations </w:t>
            </w:r>
          </w:p>
        </w:tc>
      </w:tr>
    </w:tbl>
    <w:p w14:paraId="76ECC873" w14:textId="77777777" w:rsidR="00810007" w:rsidRPr="00BB71D1" w:rsidRDefault="00810007" w:rsidP="00161566">
      <w:pPr>
        <w:spacing w:after="0" w:line="240" w:lineRule="auto"/>
        <w:jc w:val="both"/>
        <w:rPr>
          <w:b/>
          <w:bCs/>
        </w:rPr>
      </w:pPr>
    </w:p>
    <w:bookmarkEnd w:id="0"/>
    <w:p w14:paraId="1D28BD00" w14:textId="77777777" w:rsidR="00371A9A" w:rsidRPr="00371A9A" w:rsidRDefault="00371A9A" w:rsidP="00161566">
      <w:pPr>
        <w:spacing w:after="0" w:line="240" w:lineRule="auto"/>
        <w:jc w:val="both"/>
        <w:rPr>
          <w:b/>
          <w:bCs/>
        </w:rPr>
      </w:pPr>
      <w:r w:rsidRPr="00371A9A">
        <w:rPr>
          <w:b/>
          <w:bCs/>
        </w:rPr>
        <w:t xml:space="preserve">Henry and Lucy Moses Center for Students with Disabilities at NYU </w:t>
      </w:r>
    </w:p>
    <w:p w14:paraId="4BCD74B3" w14:textId="2402E3C0" w:rsidR="00371A9A" w:rsidRDefault="00371A9A" w:rsidP="00161566">
      <w:pPr>
        <w:spacing w:after="0" w:line="240" w:lineRule="auto"/>
        <w:jc w:val="both"/>
      </w:pPr>
      <w:r>
        <w:t xml:space="preserve">Academic accommodations are available for students with disabilities. Please visit the Moses Center for Students with Disabilities (CSD) website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 </w:t>
      </w:r>
    </w:p>
    <w:p w14:paraId="6930ADA0" w14:textId="77777777" w:rsidR="00371A9A" w:rsidRDefault="00371A9A" w:rsidP="00161566">
      <w:pPr>
        <w:spacing w:after="0" w:line="240" w:lineRule="auto"/>
        <w:jc w:val="both"/>
      </w:pPr>
    </w:p>
    <w:p w14:paraId="09BE26EE" w14:textId="77777777" w:rsidR="00371A9A" w:rsidRPr="00371A9A" w:rsidRDefault="00371A9A" w:rsidP="00161566">
      <w:pPr>
        <w:spacing w:after="0" w:line="240" w:lineRule="auto"/>
        <w:jc w:val="both"/>
        <w:rPr>
          <w:b/>
          <w:bCs/>
        </w:rPr>
      </w:pPr>
      <w:r w:rsidRPr="00371A9A">
        <w:rPr>
          <w:b/>
          <w:bCs/>
        </w:rPr>
        <w:t xml:space="preserve">NYU’s Calendar Policy on Religious Holidays </w:t>
      </w:r>
    </w:p>
    <w:p w14:paraId="5E757F01" w14:textId="13D33F5A" w:rsidR="00A12924" w:rsidRDefault="00371A9A" w:rsidP="0025239E">
      <w:pPr>
        <w:spacing w:after="0" w:line="240" w:lineRule="auto"/>
        <w:jc w:val="both"/>
      </w:pPr>
      <w:r>
        <w:t>NYU’s Calendar Policy on Religious Holidays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bookmarkStart w:id="1" w:name="_GoBack"/>
      <w:bookmarkEnd w:id="1"/>
    </w:p>
    <w:p w14:paraId="71FCEF69" w14:textId="77777777" w:rsidR="00161566" w:rsidRDefault="00161566" w:rsidP="00161566">
      <w:pPr>
        <w:spacing w:after="0" w:line="240" w:lineRule="auto"/>
        <w:jc w:val="both"/>
      </w:pPr>
    </w:p>
    <w:sectPr w:rsidR="00161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F60B" w14:textId="77777777" w:rsidR="009B3781" w:rsidRDefault="009B3781" w:rsidP="00B7746C">
      <w:pPr>
        <w:spacing w:after="0" w:line="240" w:lineRule="auto"/>
      </w:pPr>
      <w:r>
        <w:separator/>
      </w:r>
    </w:p>
  </w:endnote>
  <w:endnote w:type="continuationSeparator" w:id="0">
    <w:p w14:paraId="2DFDDE98" w14:textId="77777777" w:rsidR="009B3781" w:rsidRDefault="009B3781" w:rsidP="00B7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DF26" w14:textId="77777777" w:rsidR="009B3781" w:rsidRDefault="009B3781" w:rsidP="00B7746C">
      <w:pPr>
        <w:spacing w:after="0" w:line="240" w:lineRule="auto"/>
      </w:pPr>
      <w:r>
        <w:separator/>
      </w:r>
    </w:p>
  </w:footnote>
  <w:footnote w:type="continuationSeparator" w:id="0">
    <w:p w14:paraId="78A51A50" w14:textId="77777777" w:rsidR="009B3781" w:rsidRDefault="009B3781" w:rsidP="00B7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40EA"/>
    <w:multiLevelType w:val="hybridMultilevel"/>
    <w:tmpl w:val="588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581A"/>
    <w:multiLevelType w:val="hybridMultilevel"/>
    <w:tmpl w:val="62F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48D1"/>
    <w:multiLevelType w:val="hybridMultilevel"/>
    <w:tmpl w:val="1560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4251B"/>
    <w:multiLevelType w:val="hybridMultilevel"/>
    <w:tmpl w:val="4C6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B7387"/>
    <w:multiLevelType w:val="hybridMultilevel"/>
    <w:tmpl w:val="7BB2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41F3"/>
    <w:multiLevelType w:val="hybridMultilevel"/>
    <w:tmpl w:val="927A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463A"/>
    <w:multiLevelType w:val="hybridMultilevel"/>
    <w:tmpl w:val="D46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1173D"/>
    <w:multiLevelType w:val="hybridMultilevel"/>
    <w:tmpl w:val="6024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B58BD"/>
    <w:multiLevelType w:val="hybridMultilevel"/>
    <w:tmpl w:val="2D3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66691"/>
    <w:multiLevelType w:val="hybridMultilevel"/>
    <w:tmpl w:val="35B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05244"/>
    <w:multiLevelType w:val="hybridMultilevel"/>
    <w:tmpl w:val="8AE6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C10E8"/>
    <w:multiLevelType w:val="hybridMultilevel"/>
    <w:tmpl w:val="837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E10A7"/>
    <w:multiLevelType w:val="hybridMultilevel"/>
    <w:tmpl w:val="5D10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A5EEB"/>
    <w:multiLevelType w:val="hybridMultilevel"/>
    <w:tmpl w:val="4A32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4"/>
  </w:num>
  <w:num w:numId="6">
    <w:abstractNumId w:val="13"/>
  </w:num>
  <w:num w:numId="7">
    <w:abstractNumId w:val="2"/>
  </w:num>
  <w:num w:numId="8">
    <w:abstractNumId w:val="1"/>
  </w:num>
  <w:num w:numId="9">
    <w:abstractNumId w:val="9"/>
  </w:num>
  <w:num w:numId="10">
    <w:abstractNumId w:val="12"/>
  </w:num>
  <w:num w:numId="11">
    <w:abstractNumId w:val="0"/>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C"/>
    <w:rsid w:val="00027C8F"/>
    <w:rsid w:val="00070EB8"/>
    <w:rsid w:val="000F5EA2"/>
    <w:rsid w:val="00161566"/>
    <w:rsid w:val="001910C1"/>
    <w:rsid w:val="001A632D"/>
    <w:rsid w:val="00203FE2"/>
    <w:rsid w:val="0025239E"/>
    <w:rsid w:val="002D5379"/>
    <w:rsid w:val="00371A9A"/>
    <w:rsid w:val="00385366"/>
    <w:rsid w:val="00391637"/>
    <w:rsid w:val="00394120"/>
    <w:rsid w:val="003E7F8B"/>
    <w:rsid w:val="00413B73"/>
    <w:rsid w:val="00431220"/>
    <w:rsid w:val="00486E2D"/>
    <w:rsid w:val="005539FF"/>
    <w:rsid w:val="00566688"/>
    <w:rsid w:val="00595FF3"/>
    <w:rsid w:val="0064484F"/>
    <w:rsid w:val="006D1742"/>
    <w:rsid w:val="007368E7"/>
    <w:rsid w:val="00757C0A"/>
    <w:rsid w:val="00764497"/>
    <w:rsid w:val="007722FF"/>
    <w:rsid w:val="00780046"/>
    <w:rsid w:val="007E32B9"/>
    <w:rsid w:val="007F6D43"/>
    <w:rsid w:val="00810007"/>
    <w:rsid w:val="00836598"/>
    <w:rsid w:val="00911E50"/>
    <w:rsid w:val="00954DC4"/>
    <w:rsid w:val="00962449"/>
    <w:rsid w:val="0097074C"/>
    <w:rsid w:val="009B3781"/>
    <w:rsid w:val="009D73F1"/>
    <w:rsid w:val="00A125C1"/>
    <w:rsid w:val="00A12924"/>
    <w:rsid w:val="00A313F2"/>
    <w:rsid w:val="00A56D24"/>
    <w:rsid w:val="00B7746C"/>
    <w:rsid w:val="00B779B8"/>
    <w:rsid w:val="00BB71D1"/>
    <w:rsid w:val="00C23A55"/>
    <w:rsid w:val="00D45EA8"/>
    <w:rsid w:val="00D81F0B"/>
    <w:rsid w:val="00DB4FF4"/>
    <w:rsid w:val="00DC55AA"/>
    <w:rsid w:val="00E63C28"/>
    <w:rsid w:val="00E9776F"/>
    <w:rsid w:val="00F13F37"/>
    <w:rsid w:val="00F17F73"/>
    <w:rsid w:val="00F3281E"/>
    <w:rsid w:val="00F7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FD1CF"/>
  <w15:chartTrackingRefBased/>
  <w15:docId w15:val="{393D0F5F-027E-4AAD-8EDE-CEB541A6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66"/>
    <w:pPr>
      <w:ind w:left="720"/>
      <w:contextualSpacing/>
    </w:pPr>
  </w:style>
  <w:style w:type="character" w:styleId="Hyperlink">
    <w:name w:val="Hyperlink"/>
    <w:basedOn w:val="DefaultParagraphFont"/>
    <w:uiPriority w:val="99"/>
    <w:unhideWhenUsed/>
    <w:rsid w:val="001A632D"/>
    <w:rPr>
      <w:color w:val="0563C1" w:themeColor="hyperlink"/>
      <w:u w:val="single"/>
    </w:rPr>
  </w:style>
  <w:style w:type="character" w:styleId="UnresolvedMention">
    <w:name w:val="Unresolved Mention"/>
    <w:basedOn w:val="DefaultParagraphFont"/>
    <w:uiPriority w:val="99"/>
    <w:semiHidden/>
    <w:unhideWhenUsed/>
    <w:rsid w:val="001A632D"/>
    <w:rPr>
      <w:color w:val="605E5C"/>
      <w:shd w:val="clear" w:color="auto" w:fill="E1DFDD"/>
    </w:rPr>
  </w:style>
  <w:style w:type="table" w:styleId="TableGrid">
    <w:name w:val="Table Grid"/>
    <w:basedOn w:val="TableNormal"/>
    <w:uiPriority w:val="39"/>
    <w:rsid w:val="0039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Andrew</dc:creator>
  <cp:keywords/>
  <dc:description/>
  <cp:lastModifiedBy>Elliot Wareham</cp:lastModifiedBy>
  <cp:revision>2</cp:revision>
  <dcterms:created xsi:type="dcterms:W3CDTF">2024-02-27T17:22:00Z</dcterms:created>
  <dcterms:modified xsi:type="dcterms:W3CDTF">2024-02-27T17:22:00Z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c3822d-505a-4f1c-95ce-447041d13b70_Enabled">
    <vt:lpwstr>true</vt:lpwstr>
  </property>
  <property fmtid="{D5CDD505-2E9C-101B-9397-08002B2CF9AE}" pid="3" name="MSIP_Label_a9c3822d-505a-4f1c-95ce-447041d13b70_SetDate">
    <vt:lpwstr>2023-02-03T14:16:47Z</vt:lpwstr>
  </property>
  <property fmtid="{D5CDD505-2E9C-101B-9397-08002B2CF9AE}" pid="4" name="MSIP_Label_a9c3822d-505a-4f1c-95ce-447041d13b70_Method">
    <vt:lpwstr>Privileged</vt:lpwstr>
  </property>
  <property fmtid="{D5CDD505-2E9C-101B-9397-08002B2CF9AE}" pid="5" name="MSIP_Label_a9c3822d-505a-4f1c-95ce-447041d13b70_Name">
    <vt:lpwstr>a9c3822d-505a-4f1c-95ce-447041d13b70</vt:lpwstr>
  </property>
  <property fmtid="{D5CDD505-2E9C-101B-9397-08002B2CF9AE}" pid="6" name="MSIP_Label_a9c3822d-505a-4f1c-95ce-447041d13b70_SiteId">
    <vt:lpwstr>b397c653-5b19-463f-b9fc-af658ded9128</vt:lpwstr>
  </property>
  <property fmtid="{D5CDD505-2E9C-101B-9397-08002B2CF9AE}" pid="7" name="MSIP_Label_a9c3822d-505a-4f1c-95ce-447041d13b70_ActionId">
    <vt:lpwstr>7c42e7ad-2125-4822-ad24-c407f5babf62</vt:lpwstr>
  </property>
  <property fmtid="{D5CDD505-2E9C-101B-9397-08002B2CF9AE}" pid="8" name="MSIP_Label_a9c3822d-505a-4f1c-95ce-447041d13b70_ContentBits">
    <vt:lpwstr>0</vt:lpwstr>
  </property>
</Properties>
</file>