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3984" w:rsidRDefault="00370B6A">
      <w:pPr>
        <w:jc w:val="center"/>
        <w:rPr>
          <w:rFonts w:ascii="Lato" w:eastAsia="Lato" w:hAnsi="Lato" w:cs="Lato"/>
          <w:b/>
          <w:sz w:val="32"/>
          <w:szCs w:val="32"/>
          <w:highlight w:val="white"/>
        </w:rPr>
      </w:pPr>
      <w:r>
        <w:rPr>
          <w:rFonts w:ascii="Lato" w:eastAsia="Lato" w:hAnsi="Lato" w:cs="Lato"/>
          <w:b/>
          <w:noProof/>
          <w:sz w:val="32"/>
          <w:szCs w:val="32"/>
          <w:highlight w:val="white"/>
        </w:rPr>
        <w:drawing>
          <wp:inline distT="114300" distB="114300" distL="114300" distR="114300">
            <wp:extent cx="5943600" cy="673100"/>
            <wp:effectExtent l="0" t="0" r="0" b="0"/>
            <wp:docPr id="1" name="image1.jpg" descr="NYU Robert F. Wagner Graduate School of Public Service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673100"/>
                    </a:xfrm>
                    <a:prstGeom prst="rect">
                      <a:avLst/>
                    </a:prstGeom>
                    <a:ln/>
                  </pic:spPr>
                </pic:pic>
              </a:graphicData>
            </a:graphic>
          </wp:inline>
        </w:drawing>
      </w:r>
    </w:p>
    <w:p w:rsidR="00133984" w:rsidRDefault="00133984">
      <w:pPr>
        <w:jc w:val="center"/>
        <w:rPr>
          <w:rFonts w:ascii="Lato" w:eastAsia="Lato" w:hAnsi="Lato" w:cs="Lato"/>
          <w:b/>
          <w:sz w:val="32"/>
          <w:szCs w:val="32"/>
          <w:highlight w:val="white"/>
        </w:rPr>
      </w:pPr>
    </w:p>
    <w:p w:rsidR="00133984" w:rsidRPr="00E72F35" w:rsidRDefault="00370B6A" w:rsidP="00E72F35">
      <w:pPr>
        <w:pStyle w:val="Title"/>
        <w:jc w:val="center"/>
        <w:rPr>
          <w:b/>
          <w:sz w:val="32"/>
          <w:szCs w:val="32"/>
          <w:highlight w:val="white"/>
        </w:rPr>
      </w:pPr>
      <w:r w:rsidRPr="00E72F35">
        <w:rPr>
          <w:b/>
          <w:sz w:val="32"/>
          <w:szCs w:val="32"/>
          <w:highlight w:val="white"/>
        </w:rPr>
        <w:t>PADM-GP 2184</w:t>
      </w:r>
    </w:p>
    <w:p w:rsidR="00133984" w:rsidRPr="00E72F35" w:rsidRDefault="00370B6A" w:rsidP="00E72F35">
      <w:pPr>
        <w:pStyle w:val="Title"/>
        <w:jc w:val="center"/>
        <w:rPr>
          <w:b/>
          <w:sz w:val="32"/>
          <w:szCs w:val="32"/>
        </w:rPr>
      </w:pPr>
      <w:r w:rsidRPr="00E72F35">
        <w:rPr>
          <w:b/>
          <w:sz w:val="32"/>
          <w:szCs w:val="32"/>
          <w:highlight w:val="white"/>
        </w:rPr>
        <w:t>Community-based Participatory Action Research</w:t>
      </w:r>
    </w:p>
    <w:p w:rsidR="00133984" w:rsidRPr="00E72F35" w:rsidRDefault="00370B6A" w:rsidP="00E72F35">
      <w:pPr>
        <w:pStyle w:val="Title"/>
        <w:jc w:val="center"/>
        <w:rPr>
          <w:b/>
          <w:sz w:val="32"/>
          <w:szCs w:val="32"/>
        </w:rPr>
      </w:pPr>
      <w:r w:rsidRPr="00E72F35">
        <w:rPr>
          <w:b/>
          <w:sz w:val="32"/>
          <w:szCs w:val="32"/>
        </w:rPr>
        <w:t>Spring 2024</w:t>
      </w:r>
    </w:p>
    <w:p w:rsidR="00133984" w:rsidRDefault="00370B6A" w:rsidP="00E72F35">
      <w:pPr>
        <w:pStyle w:val="Heading1"/>
        <w:rPr>
          <w:b w:val="0"/>
        </w:rPr>
      </w:pPr>
      <w:r>
        <w:t>Faculty Information</w:t>
      </w:r>
    </w:p>
    <w:p w:rsidR="00133984" w:rsidRDefault="00370B6A">
      <w:pPr>
        <w:rPr>
          <w:rFonts w:ascii="Lato" w:eastAsia="Lato" w:hAnsi="Lato" w:cs="Lato"/>
        </w:rPr>
      </w:pPr>
      <w:r>
        <w:rPr>
          <w:rFonts w:ascii="Lato" w:eastAsia="Lato" w:hAnsi="Lato" w:cs="Lato"/>
        </w:rPr>
        <w:t>Professor Judy Pryor-Ramirez (“Professor J”)</w:t>
      </w:r>
    </w:p>
    <w:p w:rsidR="00133984" w:rsidRDefault="00370B6A">
      <w:pPr>
        <w:rPr>
          <w:rFonts w:ascii="Lato" w:eastAsia="Lato" w:hAnsi="Lato" w:cs="Lato"/>
        </w:rPr>
      </w:pPr>
      <w:r>
        <w:rPr>
          <w:rFonts w:ascii="Lato" w:eastAsia="Lato" w:hAnsi="Lato" w:cs="Lato"/>
        </w:rPr>
        <w:t xml:space="preserve">Email: </w:t>
      </w:r>
      <w:hyperlink r:id="rId8">
        <w:r>
          <w:rPr>
            <w:rFonts w:ascii="Lato" w:eastAsia="Lato" w:hAnsi="Lato" w:cs="Lato"/>
            <w:color w:val="1155CC"/>
            <w:u w:val="single"/>
          </w:rPr>
          <w:t>jpramirez@nyu.edu</w:t>
        </w:r>
      </w:hyperlink>
      <w:r>
        <w:rPr>
          <w:rFonts w:ascii="Lato" w:eastAsia="Lato" w:hAnsi="Lato" w:cs="Lato"/>
        </w:rPr>
        <w:t xml:space="preserve"> </w:t>
      </w:r>
    </w:p>
    <w:p w:rsidR="00133984" w:rsidRDefault="00370B6A">
      <w:pPr>
        <w:rPr>
          <w:rFonts w:ascii="Lato" w:eastAsia="Lato" w:hAnsi="Lato" w:cs="Lato"/>
          <w:color w:val="0000FF"/>
          <w:u w:val="single"/>
        </w:rPr>
      </w:pPr>
      <w:r>
        <w:rPr>
          <w:rFonts w:ascii="Lato" w:eastAsia="Lato" w:hAnsi="Lato" w:cs="Lato"/>
        </w:rPr>
        <w:t>Student Office hours: By appointment only</w:t>
      </w:r>
    </w:p>
    <w:p w:rsidR="00133984" w:rsidRDefault="00370B6A" w:rsidP="00E72F35">
      <w:pPr>
        <w:pStyle w:val="Heading1"/>
      </w:pPr>
      <w:r>
        <w:t xml:space="preserve">Course Information </w:t>
      </w:r>
    </w:p>
    <w:p w:rsidR="00133984" w:rsidRDefault="00370B6A">
      <w:pPr>
        <w:rPr>
          <w:rFonts w:ascii="Lato" w:eastAsia="Lato" w:hAnsi="Lato" w:cs="Lato"/>
        </w:rPr>
      </w:pPr>
      <w:r>
        <w:rPr>
          <w:rFonts w:ascii="Lato" w:eastAsia="Lato" w:hAnsi="Lato" w:cs="Lato"/>
        </w:rPr>
        <w:t xml:space="preserve">Tuesdays, 4:55 - 6:35pm </w:t>
      </w:r>
    </w:p>
    <w:p w:rsidR="00133984" w:rsidRDefault="00370B6A">
      <w:pPr>
        <w:rPr>
          <w:rFonts w:ascii="Lato" w:eastAsia="Lato" w:hAnsi="Lato" w:cs="Lato"/>
        </w:rPr>
      </w:pPr>
      <w:r>
        <w:rPr>
          <w:rFonts w:ascii="Lato" w:eastAsia="Lato" w:hAnsi="Lato" w:cs="Lato"/>
        </w:rPr>
        <w:t xml:space="preserve">Location: </w:t>
      </w:r>
      <w:r>
        <w:rPr>
          <w:rFonts w:ascii="Lato" w:eastAsia="Lato" w:hAnsi="Lato" w:cs="Lato"/>
          <w:highlight w:val="white"/>
        </w:rPr>
        <w:t>194 Mercer Street, Room 307</w:t>
      </w:r>
    </w:p>
    <w:p w:rsidR="00133984" w:rsidRDefault="00370B6A" w:rsidP="00E72F35">
      <w:pPr>
        <w:pStyle w:val="Heading1"/>
      </w:pPr>
      <w:r>
        <w:t>Description</w:t>
      </w:r>
    </w:p>
    <w:p w:rsidR="00133984" w:rsidRDefault="00370B6A">
      <w:pPr>
        <w:rPr>
          <w:rFonts w:ascii="Lato" w:eastAsia="Lato" w:hAnsi="Lato" w:cs="Lato"/>
        </w:rPr>
      </w:pPr>
      <w:r>
        <w:rPr>
          <w:rFonts w:ascii="Lato" w:eastAsia="Lato" w:hAnsi="Lato" w:cs="Lato"/>
        </w:rPr>
        <w:t>This is an introductory course for students who want to better understand theories, principles, and methods of community-based participatory action research (CB</w:t>
      </w:r>
      <w:r>
        <w:rPr>
          <w:rFonts w:ascii="Lato" w:eastAsia="Lato" w:hAnsi="Lato" w:cs="Lato"/>
        </w:rPr>
        <w:t>PAR) done with communities and community partners. CBPAR is a means for community planning and organizing to address local issues and social needs that center individuals and communities directly impacted. ​​This course focuses on how researchers and commu</w:t>
      </w:r>
      <w:r>
        <w:rPr>
          <w:rFonts w:ascii="Lato" w:eastAsia="Lato" w:hAnsi="Lato" w:cs="Lato"/>
        </w:rPr>
        <w:t xml:space="preserve">nity members collaborate to conduct research that leads to community change and the improvement of community-identified needs, as well as scholarly debates and practical and methodological issues in applying CBPAR. </w:t>
      </w:r>
    </w:p>
    <w:p w:rsidR="00133984" w:rsidRDefault="00370B6A" w:rsidP="00E72F35">
      <w:pPr>
        <w:pStyle w:val="Heading1"/>
      </w:pPr>
      <w:r>
        <w:t>Course Design &amp; Pedagogy</w:t>
      </w:r>
    </w:p>
    <w:p w:rsidR="00133984" w:rsidRDefault="00370B6A">
      <w:pPr>
        <w:rPr>
          <w:rFonts w:ascii="Lato" w:eastAsia="Lato" w:hAnsi="Lato" w:cs="Lato"/>
        </w:rPr>
      </w:pPr>
      <w:r>
        <w:rPr>
          <w:rFonts w:ascii="Lato" w:eastAsia="Lato" w:hAnsi="Lato" w:cs="Lato"/>
        </w:rPr>
        <w:t>The course wil</w:t>
      </w:r>
      <w:r>
        <w:rPr>
          <w:rFonts w:ascii="Lato" w:eastAsia="Lato" w:hAnsi="Lato" w:cs="Lato"/>
        </w:rPr>
        <w:t>l combine conceptual and experiential approaches to exploring CBPAR as a research approach and practice for participatory policymaking. Readings will introduce key concepts and valuable ways of thinking about a given week’s topic. In-class discussions, ass</w:t>
      </w:r>
      <w:r>
        <w:rPr>
          <w:rFonts w:ascii="Lato" w:eastAsia="Lato" w:hAnsi="Lato" w:cs="Lato"/>
        </w:rPr>
        <w:t>ignments, guest lectures, and group projects will provide opportunities to analyze traditions and concepts to practice interpretation and sensemaking skills. The written assignments require students to clarify their thinking and articulate their practice u</w:t>
      </w:r>
      <w:r>
        <w:rPr>
          <w:rFonts w:ascii="Lato" w:eastAsia="Lato" w:hAnsi="Lato" w:cs="Lato"/>
        </w:rPr>
        <w:t>sing analytical and communication skills.</w:t>
      </w:r>
    </w:p>
    <w:p w:rsidR="00133984" w:rsidRDefault="00370B6A" w:rsidP="00E72F35">
      <w:pPr>
        <w:pStyle w:val="Heading1"/>
      </w:pPr>
      <w:r>
        <w:lastRenderedPageBreak/>
        <w:t>Learning Objectives</w:t>
      </w:r>
    </w:p>
    <w:p w:rsidR="00133984" w:rsidRDefault="00370B6A">
      <w:pPr>
        <w:rPr>
          <w:rFonts w:ascii="Lato" w:eastAsia="Lato" w:hAnsi="Lato" w:cs="Lato"/>
        </w:rPr>
      </w:pPr>
      <w:r>
        <w:rPr>
          <w:rFonts w:ascii="Lato" w:eastAsia="Lato" w:hAnsi="Lato" w:cs="Lato"/>
        </w:rPr>
        <w:t>By the end of this class, students will be able to:</w:t>
      </w:r>
    </w:p>
    <w:p w:rsidR="00133984" w:rsidRDefault="00370B6A">
      <w:pPr>
        <w:numPr>
          <w:ilvl w:val="0"/>
          <w:numId w:val="4"/>
        </w:numPr>
        <w:rPr>
          <w:rFonts w:ascii="Lato" w:eastAsia="Lato" w:hAnsi="Lato" w:cs="Lato"/>
        </w:rPr>
      </w:pPr>
      <w:r>
        <w:rPr>
          <w:rFonts w:ascii="Lato" w:eastAsia="Lato" w:hAnsi="Lato" w:cs="Lato"/>
        </w:rPr>
        <w:t>Describe the core principles and traditions of this research approach to consider its uses as a strategy to address social justice, policy, o</w:t>
      </w:r>
      <w:r>
        <w:rPr>
          <w:rFonts w:ascii="Lato" w:eastAsia="Lato" w:hAnsi="Lato" w:cs="Lato"/>
        </w:rPr>
        <w:t>r systems change issues</w:t>
      </w:r>
    </w:p>
    <w:p w:rsidR="00133984" w:rsidRDefault="00370B6A">
      <w:pPr>
        <w:numPr>
          <w:ilvl w:val="0"/>
          <w:numId w:val="4"/>
        </w:numPr>
        <w:rPr>
          <w:rFonts w:ascii="Lato" w:eastAsia="Lato" w:hAnsi="Lato" w:cs="Lato"/>
        </w:rPr>
      </w:pPr>
      <w:r>
        <w:rPr>
          <w:rFonts w:ascii="Lato" w:eastAsia="Lato" w:hAnsi="Lato" w:cs="Lato"/>
        </w:rPr>
        <w:t>Evaluate the possibilities and assess the ethics and challenges of forming, maintaining, and sustaining partnerships with communities with attention to power dynamics</w:t>
      </w:r>
    </w:p>
    <w:p w:rsidR="00133984" w:rsidRDefault="00370B6A">
      <w:pPr>
        <w:numPr>
          <w:ilvl w:val="0"/>
          <w:numId w:val="4"/>
        </w:numPr>
        <w:rPr>
          <w:rFonts w:ascii="Lato" w:eastAsia="Lato" w:hAnsi="Lato" w:cs="Lato"/>
        </w:rPr>
      </w:pPr>
      <w:r>
        <w:rPr>
          <w:rFonts w:ascii="Lato" w:eastAsia="Lato" w:hAnsi="Lato" w:cs="Lato"/>
        </w:rPr>
        <w:t>Demonstrate team building, negotiation, and conflict management s</w:t>
      </w:r>
      <w:r>
        <w:rPr>
          <w:rFonts w:ascii="Lato" w:eastAsia="Lato" w:hAnsi="Lato" w:cs="Lato"/>
        </w:rPr>
        <w:t>kills by working on a simulated CBPAR project</w:t>
      </w:r>
    </w:p>
    <w:p w:rsidR="00133984" w:rsidRDefault="00370B6A">
      <w:pPr>
        <w:numPr>
          <w:ilvl w:val="0"/>
          <w:numId w:val="4"/>
        </w:numPr>
        <w:rPr>
          <w:rFonts w:ascii="Lato" w:eastAsia="Lato" w:hAnsi="Lato" w:cs="Lato"/>
        </w:rPr>
      </w:pPr>
      <w:r>
        <w:rPr>
          <w:rFonts w:ascii="Lato" w:eastAsia="Lato" w:hAnsi="Lato" w:cs="Lato"/>
        </w:rPr>
        <w:t xml:space="preserve">Develop strategies to motivate others for collaborative problem-solving, decision-making, and evaluation, working across lines of power and positionality </w:t>
      </w:r>
    </w:p>
    <w:p w:rsidR="00133984" w:rsidRDefault="00370B6A" w:rsidP="00E72F35">
      <w:pPr>
        <w:pStyle w:val="Heading1"/>
      </w:pPr>
      <w:r>
        <w:t>Course Material</w:t>
      </w:r>
    </w:p>
    <w:p w:rsidR="00133984" w:rsidRDefault="00370B6A">
      <w:pPr>
        <w:numPr>
          <w:ilvl w:val="0"/>
          <w:numId w:val="1"/>
        </w:numPr>
        <w:rPr>
          <w:rFonts w:ascii="Lato" w:eastAsia="Lato" w:hAnsi="Lato" w:cs="Lato"/>
        </w:rPr>
      </w:pPr>
      <w:r>
        <w:rPr>
          <w:rFonts w:ascii="Lato" w:eastAsia="Lato" w:hAnsi="Lato" w:cs="Lato"/>
        </w:rPr>
        <w:t>Brightspace Page: You will find the course syllabus, assignments, readings, and slides.</w:t>
      </w:r>
    </w:p>
    <w:p w:rsidR="00133984" w:rsidRDefault="00370B6A">
      <w:pPr>
        <w:numPr>
          <w:ilvl w:val="0"/>
          <w:numId w:val="1"/>
        </w:numPr>
        <w:rPr>
          <w:rFonts w:ascii="Lato" w:eastAsia="Lato" w:hAnsi="Lato" w:cs="Lato"/>
        </w:rPr>
      </w:pPr>
      <w:r>
        <w:rPr>
          <w:rFonts w:ascii="Lato" w:eastAsia="Lato" w:hAnsi="Lato" w:cs="Lato"/>
        </w:rPr>
        <w:t xml:space="preserve">Course Material: To keep costs down, I am providing you with all the readings that copyrights allow me to post in Brightspace. </w:t>
      </w:r>
    </w:p>
    <w:p w:rsidR="00133984" w:rsidRDefault="00370B6A" w:rsidP="00E72F35">
      <w:pPr>
        <w:pStyle w:val="Heading1"/>
        <w:rPr>
          <w:i/>
        </w:rPr>
      </w:pPr>
      <w:r>
        <w:t>Course Schedule</w:t>
      </w:r>
    </w:p>
    <w:tbl>
      <w:tblPr>
        <w:tblStyle w:val="a"/>
        <w:tblW w:w="10335"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290"/>
        <w:gridCol w:w="3495"/>
        <w:gridCol w:w="5550"/>
      </w:tblGrid>
      <w:tr w:rsidR="00133984" w:rsidTr="00E72F35">
        <w:tc>
          <w:tcPr>
            <w:tcW w:w="1290" w:type="dxa"/>
            <w:shd w:val="clear" w:color="auto" w:fill="000000"/>
            <w:tcMar>
              <w:top w:w="100" w:type="dxa"/>
              <w:left w:w="100" w:type="dxa"/>
              <w:bottom w:w="100" w:type="dxa"/>
              <w:right w:w="100" w:type="dxa"/>
            </w:tcMar>
          </w:tcPr>
          <w:p w:rsidR="00133984" w:rsidRDefault="00370B6A">
            <w:pPr>
              <w:widowControl w:val="0"/>
              <w:spacing w:line="240" w:lineRule="auto"/>
              <w:jc w:val="center"/>
              <w:rPr>
                <w:rFonts w:ascii="Lato" w:eastAsia="Lato" w:hAnsi="Lato" w:cs="Lato"/>
                <w:b/>
                <w:color w:val="FFFFFF"/>
              </w:rPr>
            </w:pPr>
            <w:r>
              <w:rPr>
                <w:rFonts w:ascii="Lato" w:eastAsia="Lato" w:hAnsi="Lato" w:cs="Lato"/>
                <w:b/>
                <w:color w:val="FFFFFF"/>
              </w:rPr>
              <w:t>Date</w:t>
            </w:r>
          </w:p>
        </w:tc>
        <w:tc>
          <w:tcPr>
            <w:tcW w:w="3495" w:type="dxa"/>
            <w:shd w:val="clear" w:color="auto" w:fill="000000"/>
            <w:tcMar>
              <w:top w:w="100" w:type="dxa"/>
              <w:left w:w="100" w:type="dxa"/>
              <w:bottom w:w="100" w:type="dxa"/>
              <w:right w:w="100" w:type="dxa"/>
            </w:tcMar>
          </w:tcPr>
          <w:p w:rsidR="00133984" w:rsidRDefault="00370B6A">
            <w:pPr>
              <w:widowControl w:val="0"/>
              <w:spacing w:line="240" w:lineRule="auto"/>
              <w:jc w:val="center"/>
              <w:rPr>
                <w:rFonts w:ascii="Lato" w:eastAsia="Lato" w:hAnsi="Lato" w:cs="Lato"/>
                <w:b/>
                <w:color w:val="FFFFFF"/>
              </w:rPr>
            </w:pPr>
            <w:r>
              <w:rPr>
                <w:rFonts w:ascii="Lato" w:eastAsia="Lato" w:hAnsi="Lato" w:cs="Lato"/>
                <w:b/>
                <w:color w:val="FFFFFF"/>
              </w:rPr>
              <w:t>Topic</w:t>
            </w:r>
          </w:p>
        </w:tc>
        <w:tc>
          <w:tcPr>
            <w:tcW w:w="5550" w:type="dxa"/>
            <w:shd w:val="clear" w:color="auto" w:fill="000000"/>
            <w:tcMar>
              <w:top w:w="100" w:type="dxa"/>
              <w:left w:w="100" w:type="dxa"/>
              <w:bottom w:w="100" w:type="dxa"/>
              <w:right w:w="100" w:type="dxa"/>
            </w:tcMar>
          </w:tcPr>
          <w:p w:rsidR="00133984" w:rsidRDefault="00370B6A">
            <w:pPr>
              <w:widowControl w:val="0"/>
              <w:spacing w:line="240" w:lineRule="auto"/>
              <w:jc w:val="center"/>
              <w:rPr>
                <w:rFonts w:ascii="Lato" w:eastAsia="Lato" w:hAnsi="Lato" w:cs="Lato"/>
                <w:b/>
                <w:color w:val="FFFFFF"/>
              </w:rPr>
            </w:pPr>
            <w:r>
              <w:rPr>
                <w:rFonts w:ascii="Lato" w:eastAsia="Lato" w:hAnsi="Lato" w:cs="Lato"/>
                <w:b/>
                <w:color w:val="FFFFFF"/>
              </w:rPr>
              <w:t>Readings</w:t>
            </w:r>
          </w:p>
        </w:tc>
      </w:tr>
      <w:tr w:rsidR="00133984" w:rsidTr="00E72F35">
        <w:trPr>
          <w:trHeight w:val="420"/>
        </w:trPr>
        <w:tc>
          <w:tcPr>
            <w:tcW w:w="10335" w:type="dxa"/>
            <w:gridSpan w:val="3"/>
            <w:shd w:val="clear" w:color="auto" w:fill="CCCCCC"/>
            <w:tcMar>
              <w:top w:w="100" w:type="dxa"/>
              <w:left w:w="100" w:type="dxa"/>
              <w:bottom w:w="100" w:type="dxa"/>
              <w:right w:w="100" w:type="dxa"/>
            </w:tcMar>
          </w:tcPr>
          <w:p w:rsidR="00133984" w:rsidRDefault="00370B6A">
            <w:pPr>
              <w:widowControl w:val="0"/>
              <w:spacing w:line="240" w:lineRule="auto"/>
              <w:jc w:val="center"/>
              <w:rPr>
                <w:rFonts w:ascii="Lato" w:eastAsia="Lato" w:hAnsi="Lato" w:cs="Lato"/>
                <w:b/>
              </w:rPr>
            </w:pPr>
            <w:r>
              <w:rPr>
                <w:rFonts w:ascii="Lato" w:eastAsia="Lato" w:hAnsi="Lato" w:cs="Lato"/>
                <w:b/>
              </w:rPr>
              <w:t>Unit 1: What are Participatory Research Approaches?</w:t>
            </w:r>
          </w:p>
        </w:tc>
      </w:tr>
      <w:tr w:rsidR="00133984" w:rsidTr="00E72F35">
        <w:trPr>
          <w:trHeight w:val="1485"/>
        </w:trPr>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1/23</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Intro to Participatory Research Approaches</w:t>
            </w:r>
          </w:p>
        </w:tc>
        <w:tc>
          <w:tcPr>
            <w:tcW w:w="5550" w:type="dxa"/>
            <w:shd w:val="clear" w:color="auto" w:fill="auto"/>
            <w:tcMar>
              <w:top w:w="100" w:type="dxa"/>
              <w:left w:w="100" w:type="dxa"/>
              <w:bottom w:w="100" w:type="dxa"/>
              <w:right w:w="100" w:type="dxa"/>
            </w:tcMar>
          </w:tcPr>
          <w:p w:rsidR="00133984" w:rsidRDefault="00370B6A">
            <w:pPr>
              <w:shd w:val="clear" w:color="auto" w:fill="FFFFFF"/>
              <w:spacing w:line="240" w:lineRule="auto"/>
              <w:rPr>
                <w:rFonts w:ascii="Lato" w:eastAsia="Lato" w:hAnsi="Lato" w:cs="Lato"/>
              </w:rPr>
            </w:pPr>
            <w:hyperlink r:id="rId9">
              <w:r>
                <w:rPr>
                  <w:rFonts w:ascii="Lato" w:eastAsia="Lato" w:hAnsi="Lato" w:cs="Lato"/>
                  <w:color w:val="1155CC"/>
                  <w:u w:val="single"/>
                </w:rPr>
                <w:t>Critical Participatory Action Research as Public Science</w:t>
              </w:r>
            </w:hyperlink>
            <w:r>
              <w:rPr>
                <w:rFonts w:ascii="Lato" w:eastAsia="Lato" w:hAnsi="Lato" w:cs="Lato"/>
              </w:rPr>
              <w:t xml:space="preserve"> by Torre, et al. </w:t>
            </w:r>
          </w:p>
          <w:p w:rsidR="00133984" w:rsidRDefault="00133984">
            <w:pPr>
              <w:shd w:val="clear" w:color="auto" w:fill="FFFFFF"/>
              <w:spacing w:line="240" w:lineRule="auto"/>
              <w:rPr>
                <w:rFonts w:ascii="Lato" w:eastAsia="Lato" w:hAnsi="Lato" w:cs="Lato"/>
              </w:rPr>
            </w:pPr>
          </w:p>
          <w:p w:rsidR="00133984" w:rsidRDefault="00370B6A">
            <w:pPr>
              <w:shd w:val="clear" w:color="auto" w:fill="FFFFFF"/>
              <w:spacing w:line="240" w:lineRule="auto"/>
              <w:rPr>
                <w:rFonts w:ascii="Lato" w:eastAsia="Lato" w:hAnsi="Lato" w:cs="Lato"/>
              </w:rPr>
            </w:pPr>
            <w:hyperlink r:id="rId10">
              <w:r>
                <w:rPr>
                  <w:rFonts w:ascii="Lato" w:eastAsia="Lato" w:hAnsi="Lato" w:cs="Lato"/>
                  <w:color w:val="1155CC"/>
                  <w:u w:val="single"/>
                </w:rPr>
                <w:t>Inquietudes - On Being Uneasy</w:t>
              </w:r>
            </w:hyperlink>
            <w:r>
              <w:rPr>
                <w:rFonts w:ascii="Lato" w:eastAsia="Lato" w:hAnsi="Lato" w:cs="Lato"/>
              </w:rPr>
              <w:t xml:space="preserve"> by Moreno Vega</w:t>
            </w:r>
          </w:p>
        </w:tc>
      </w:tr>
      <w:tr w:rsidR="00133984" w:rsidTr="00E72F35">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1/30</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Historical Traditions of Participatory Action Research (PAR)</w:t>
            </w:r>
          </w:p>
        </w:tc>
        <w:tc>
          <w:tcPr>
            <w:tcW w:w="5550" w:type="dxa"/>
            <w:shd w:val="clear" w:color="auto" w:fill="auto"/>
            <w:tcMar>
              <w:top w:w="100" w:type="dxa"/>
              <w:left w:w="100" w:type="dxa"/>
              <w:bottom w:w="100" w:type="dxa"/>
              <w:right w:w="100" w:type="dxa"/>
            </w:tcMar>
          </w:tcPr>
          <w:p w:rsidR="00133984" w:rsidRDefault="00370B6A">
            <w:pPr>
              <w:shd w:val="clear" w:color="auto" w:fill="FFFFFF"/>
              <w:spacing w:line="240" w:lineRule="auto"/>
              <w:rPr>
                <w:rFonts w:ascii="Lato" w:eastAsia="Lato" w:hAnsi="Lato" w:cs="Lato"/>
              </w:rPr>
            </w:pPr>
            <w:hyperlink r:id="rId11">
              <w:r>
                <w:rPr>
                  <w:rFonts w:ascii="Lato" w:eastAsia="Lato" w:hAnsi="Lato" w:cs="Lato"/>
                  <w:color w:val="1155CC"/>
                  <w:highlight w:val="white"/>
                  <w:u w:val="single"/>
                </w:rPr>
                <w:t>Action Research and Minority Problems</w:t>
              </w:r>
            </w:hyperlink>
            <w:r>
              <w:rPr>
                <w:rFonts w:ascii="Lato" w:eastAsia="Lato" w:hAnsi="Lato" w:cs="Lato"/>
              </w:rPr>
              <w:t xml:space="preserve"> by Lewin</w:t>
            </w:r>
          </w:p>
          <w:p w:rsidR="00133984" w:rsidRDefault="00133984">
            <w:pPr>
              <w:spacing w:line="240" w:lineRule="auto"/>
              <w:rPr>
                <w:rFonts w:ascii="Lato" w:eastAsia="Lato" w:hAnsi="Lato" w:cs="Lato"/>
              </w:rPr>
            </w:pPr>
          </w:p>
          <w:p w:rsidR="00133984" w:rsidRDefault="00370B6A">
            <w:pPr>
              <w:spacing w:line="240" w:lineRule="auto"/>
              <w:rPr>
                <w:rFonts w:ascii="Lato" w:eastAsia="Lato" w:hAnsi="Lato" w:cs="Lato"/>
              </w:rPr>
            </w:pPr>
            <w:hyperlink r:id="rId12">
              <w:r>
                <w:rPr>
                  <w:rFonts w:ascii="Lato" w:eastAsia="Lato" w:hAnsi="Lato" w:cs="Lato"/>
                  <w:color w:val="1155CC"/>
                  <w:u w:val="single"/>
                </w:rPr>
                <w:t xml:space="preserve">Imagining Latin American Social Science from the Global South: Orlando </w:t>
              </w:r>
              <w:proofErr w:type="spellStart"/>
              <w:r>
                <w:rPr>
                  <w:rFonts w:ascii="Lato" w:eastAsia="Lato" w:hAnsi="Lato" w:cs="Lato"/>
                  <w:color w:val="1155CC"/>
                  <w:u w:val="single"/>
                </w:rPr>
                <w:t>Fals</w:t>
              </w:r>
              <w:proofErr w:type="spellEnd"/>
              <w:r>
                <w:rPr>
                  <w:rFonts w:ascii="Lato" w:eastAsia="Lato" w:hAnsi="Lato" w:cs="Lato"/>
                  <w:color w:val="1155CC"/>
                  <w:u w:val="single"/>
                </w:rPr>
                <w:t xml:space="preserve"> </w:t>
              </w:r>
              <w:proofErr w:type="spellStart"/>
              <w:r>
                <w:rPr>
                  <w:rFonts w:ascii="Lato" w:eastAsia="Lato" w:hAnsi="Lato" w:cs="Lato"/>
                  <w:color w:val="1155CC"/>
                  <w:u w:val="single"/>
                </w:rPr>
                <w:t>Borda</w:t>
              </w:r>
              <w:proofErr w:type="spellEnd"/>
              <w:r>
                <w:rPr>
                  <w:rFonts w:ascii="Lato" w:eastAsia="Lato" w:hAnsi="Lato" w:cs="Lato"/>
                  <w:color w:val="1155CC"/>
                  <w:u w:val="single"/>
                </w:rPr>
                <w:t xml:space="preserve"> and Participatory Action Research</w:t>
              </w:r>
            </w:hyperlink>
            <w:r>
              <w:rPr>
                <w:rFonts w:ascii="Lato" w:eastAsia="Lato" w:hAnsi="Lato" w:cs="Lato"/>
              </w:rPr>
              <w:t xml:space="preserve"> by Lomeli, et al. </w:t>
            </w:r>
          </w:p>
        </w:tc>
      </w:tr>
      <w:tr w:rsidR="00133984" w:rsidTr="00E72F35">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2/6</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Contemporary Critical PAR</w:t>
            </w:r>
          </w:p>
        </w:tc>
        <w:tc>
          <w:tcPr>
            <w:tcW w:w="555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hyperlink r:id="rId13">
              <w:r>
                <w:rPr>
                  <w:rFonts w:ascii="Lato" w:eastAsia="Lato" w:hAnsi="Lato" w:cs="Lato"/>
                  <w:color w:val="1155CC"/>
                  <w:u w:val="single"/>
                </w:rPr>
                <w:t>Introduction in Decolonizing Methodologies</w:t>
              </w:r>
            </w:hyperlink>
            <w:r>
              <w:rPr>
                <w:rFonts w:ascii="Lato" w:eastAsia="Lato" w:hAnsi="Lato" w:cs="Lato"/>
              </w:rPr>
              <w:t xml:space="preserve"> by Tuhiwai Smith</w:t>
            </w:r>
          </w:p>
          <w:p w:rsidR="00133984" w:rsidRDefault="00370B6A">
            <w:pPr>
              <w:widowControl w:val="0"/>
              <w:spacing w:line="240" w:lineRule="auto"/>
              <w:rPr>
                <w:rFonts w:ascii="Lato" w:eastAsia="Lato" w:hAnsi="Lato" w:cs="Lato"/>
              </w:rPr>
            </w:pPr>
            <w:r>
              <w:rPr>
                <w:rFonts w:ascii="Lato" w:eastAsia="Lato" w:hAnsi="Lato" w:cs="Lato"/>
              </w:rPr>
              <w:t xml:space="preserve"> </w:t>
            </w:r>
          </w:p>
          <w:p w:rsidR="00133984" w:rsidRDefault="00370B6A">
            <w:pPr>
              <w:widowControl w:val="0"/>
              <w:spacing w:line="240" w:lineRule="auto"/>
              <w:rPr>
                <w:rFonts w:ascii="Lato" w:eastAsia="Lato" w:hAnsi="Lato" w:cs="Lato"/>
                <w:i/>
              </w:rPr>
            </w:pPr>
            <w:hyperlink r:id="rId14">
              <w:r>
                <w:rPr>
                  <w:rFonts w:ascii="Lato" w:eastAsia="Lato" w:hAnsi="Lato" w:cs="Lato"/>
                  <w:color w:val="1155CC"/>
                  <w:highlight w:val="white"/>
                  <w:u w:val="single"/>
                </w:rPr>
                <w:t xml:space="preserve">Envisioning Participatory Action Research </w:t>
              </w:r>
              <w:proofErr w:type="spellStart"/>
              <w:r>
                <w:rPr>
                  <w:rFonts w:ascii="Lato" w:eastAsia="Lato" w:hAnsi="Lato" w:cs="Lato"/>
                  <w:color w:val="1155CC"/>
                  <w:highlight w:val="white"/>
                  <w:u w:val="single"/>
                </w:rPr>
                <w:t>Entremundos</w:t>
              </w:r>
              <w:proofErr w:type="spellEnd"/>
            </w:hyperlink>
            <w:r>
              <w:rPr>
                <w:rFonts w:ascii="Lato" w:eastAsia="Lato" w:hAnsi="Lato" w:cs="Lato"/>
              </w:rPr>
              <w:t xml:space="preserve"> by Torre and Ayala</w:t>
            </w:r>
          </w:p>
        </w:tc>
      </w:tr>
      <w:tr w:rsidR="00133984" w:rsidTr="00E72F35">
        <w:trPr>
          <w:trHeight w:val="420"/>
        </w:trPr>
        <w:tc>
          <w:tcPr>
            <w:tcW w:w="10335" w:type="dxa"/>
            <w:gridSpan w:val="3"/>
            <w:shd w:val="clear" w:color="auto" w:fill="D9D9D9"/>
            <w:tcMar>
              <w:top w:w="100" w:type="dxa"/>
              <w:left w:w="100" w:type="dxa"/>
              <w:bottom w:w="100" w:type="dxa"/>
              <w:right w:w="100" w:type="dxa"/>
            </w:tcMar>
          </w:tcPr>
          <w:p w:rsidR="00133984" w:rsidRDefault="00370B6A">
            <w:pPr>
              <w:widowControl w:val="0"/>
              <w:spacing w:line="240" w:lineRule="auto"/>
              <w:jc w:val="center"/>
              <w:rPr>
                <w:rFonts w:ascii="Lato" w:eastAsia="Lato" w:hAnsi="Lato" w:cs="Lato"/>
                <w:b/>
              </w:rPr>
            </w:pPr>
            <w:r>
              <w:rPr>
                <w:rFonts w:ascii="Lato" w:eastAsia="Lato" w:hAnsi="Lato" w:cs="Lato"/>
                <w:b/>
              </w:rPr>
              <w:t>Unit 2: What does CBPAR make possible?</w:t>
            </w:r>
          </w:p>
        </w:tc>
      </w:tr>
      <w:tr w:rsidR="00133984" w:rsidTr="00E72F35">
        <w:trPr>
          <w:trHeight w:val="1910"/>
        </w:trPr>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lastRenderedPageBreak/>
              <w:t>2/13</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 xml:space="preserve">CBPAR and Research Design Possibilities </w:t>
            </w:r>
          </w:p>
          <w:p w:rsidR="00133984" w:rsidRDefault="00133984">
            <w:pPr>
              <w:widowControl w:val="0"/>
              <w:spacing w:line="240" w:lineRule="auto"/>
              <w:rPr>
                <w:rFonts w:ascii="Lato" w:eastAsia="Lato" w:hAnsi="Lato" w:cs="Lato"/>
              </w:rPr>
            </w:pPr>
          </w:p>
          <w:p w:rsidR="00133984" w:rsidRDefault="00370B6A">
            <w:pPr>
              <w:widowControl w:val="0"/>
              <w:spacing w:line="240" w:lineRule="auto"/>
              <w:rPr>
                <w:rFonts w:ascii="Lato" w:eastAsia="Lato" w:hAnsi="Lato" w:cs="Lato"/>
              </w:rPr>
            </w:pPr>
            <w:r>
              <w:rPr>
                <w:rFonts w:ascii="Lato" w:eastAsia="Lato" w:hAnsi="Lato" w:cs="Lato"/>
              </w:rPr>
              <w:t xml:space="preserve">*Guest discussant: Gabrielle </w:t>
            </w:r>
            <w:proofErr w:type="spellStart"/>
            <w:r>
              <w:rPr>
                <w:rFonts w:ascii="Lato" w:eastAsia="Lato" w:hAnsi="Lato" w:cs="Lato"/>
              </w:rPr>
              <w:t>Bendiner-Viani</w:t>
            </w:r>
            <w:proofErr w:type="spellEnd"/>
            <w:r>
              <w:rPr>
                <w:rFonts w:ascii="Lato" w:eastAsia="Lato" w:hAnsi="Lato" w:cs="Lato"/>
              </w:rPr>
              <w:t>, Ph.D.*</w:t>
            </w:r>
          </w:p>
        </w:tc>
        <w:tc>
          <w:tcPr>
            <w:tcW w:w="555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color w:val="2E414F"/>
                <w:highlight w:val="white"/>
              </w:rPr>
            </w:pPr>
            <w:hyperlink r:id="rId15">
              <w:r>
                <w:rPr>
                  <w:rFonts w:ascii="Lato" w:eastAsia="Lato" w:hAnsi="Lato" w:cs="Lato"/>
                  <w:color w:val="1155CC"/>
                  <w:highlight w:val="white"/>
                  <w:u w:val="single"/>
                </w:rPr>
                <w:t>Designing Research to Dismantle Oppression: Utilizing Critical Narrative Analysis &amp; Critical Participatory Action Research in Research on Mothering and W</w:t>
              </w:r>
              <w:r>
                <w:rPr>
                  <w:rFonts w:ascii="Lato" w:eastAsia="Lato" w:hAnsi="Lato" w:cs="Lato"/>
                  <w:color w:val="1155CC"/>
                  <w:highlight w:val="white"/>
                  <w:u w:val="single"/>
                </w:rPr>
                <w:t>ork and Beyond</w:t>
              </w:r>
            </w:hyperlink>
            <w:r>
              <w:rPr>
                <w:rFonts w:ascii="Lato" w:eastAsia="Lato" w:hAnsi="Lato" w:cs="Lato"/>
                <w:color w:val="2E414F"/>
                <w:highlight w:val="white"/>
              </w:rPr>
              <w:t xml:space="preserve"> </w:t>
            </w:r>
            <w:r>
              <w:rPr>
                <w:rFonts w:ascii="Lato" w:eastAsia="Lato" w:hAnsi="Lato" w:cs="Lato"/>
                <w:highlight w:val="white"/>
              </w:rPr>
              <w:t>by</w:t>
            </w:r>
            <w:r>
              <w:rPr>
                <w:rFonts w:ascii="Lato" w:eastAsia="Lato" w:hAnsi="Lato" w:cs="Lato"/>
                <w:color w:val="2E414F"/>
                <w:highlight w:val="white"/>
              </w:rPr>
              <w:t xml:space="preserve"> </w:t>
            </w:r>
            <w:r>
              <w:rPr>
                <w:rFonts w:ascii="Lato" w:eastAsia="Lato" w:hAnsi="Lato" w:cs="Lato"/>
              </w:rPr>
              <w:t>Dillard</w:t>
            </w:r>
          </w:p>
          <w:p w:rsidR="00133984" w:rsidRDefault="00133984">
            <w:pPr>
              <w:widowControl w:val="0"/>
              <w:spacing w:line="240" w:lineRule="auto"/>
              <w:rPr>
                <w:rFonts w:ascii="Lato" w:eastAsia="Lato" w:hAnsi="Lato" w:cs="Lato"/>
                <w:color w:val="2E414F"/>
                <w:highlight w:val="white"/>
              </w:rPr>
            </w:pPr>
          </w:p>
          <w:p w:rsidR="00133984" w:rsidRDefault="00370B6A">
            <w:pPr>
              <w:spacing w:line="240" w:lineRule="auto"/>
              <w:rPr>
                <w:rFonts w:ascii="Lato" w:eastAsia="Lato" w:hAnsi="Lato" w:cs="Lato"/>
              </w:rPr>
            </w:pPr>
            <w:hyperlink r:id="rId16">
              <w:proofErr w:type="spellStart"/>
              <w:r>
                <w:rPr>
                  <w:rFonts w:ascii="Lato" w:eastAsia="Lato" w:hAnsi="Lato" w:cs="Lato"/>
                  <w:color w:val="1155CC"/>
                  <w:u w:val="single"/>
                </w:rPr>
                <w:t>PhotoKwento</w:t>
              </w:r>
              <w:proofErr w:type="spellEnd"/>
            </w:hyperlink>
            <w:hyperlink r:id="rId17">
              <w:r>
                <w:rPr>
                  <w:rFonts w:ascii="Lato" w:eastAsia="Lato" w:hAnsi="Lato" w:cs="Lato"/>
                  <w:color w:val="1155CC"/>
                  <w:u w:val="single"/>
                </w:rPr>
                <w:t>: Co-construct</w:t>
              </w:r>
              <w:r>
                <w:rPr>
                  <w:rFonts w:ascii="Lato" w:eastAsia="Lato" w:hAnsi="Lato" w:cs="Lato"/>
                  <w:color w:val="1155CC"/>
                  <w:u w:val="single"/>
                </w:rPr>
                <w:t>ing Women’s Narratives of Disaster Recovery</w:t>
              </w:r>
            </w:hyperlink>
            <w:r>
              <w:rPr>
                <w:rFonts w:ascii="Lato" w:eastAsia="Lato" w:hAnsi="Lato" w:cs="Lato"/>
              </w:rPr>
              <w:t xml:space="preserve"> by Cañete</w:t>
            </w:r>
          </w:p>
          <w:p w:rsidR="00133984" w:rsidRDefault="00370B6A">
            <w:pPr>
              <w:spacing w:line="240" w:lineRule="auto"/>
              <w:rPr>
                <w:rFonts w:ascii="Lato" w:eastAsia="Lato" w:hAnsi="Lato" w:cs="Lato"/>
              </w:rPr>
            </w:pPr>
            <w:r>
              <w:rPr>
                <w:rFonts w:ascii="Lato" w:eastAsia="Lato" w:hAnsi="Lato" w:cs="Lato"/>
              </w:rPr>
              <w:t xml:space="preserve">Skim: </w:t>
            </w:r>
            <w:hyperlink r:id="rId18">
              <w:r>
                <w:rPr>
                  <w:rFonts w:ascii="Lato" w:eastAsia="Lato" w:hAnsi="Lato" w:cs="Lato"/>
                  <w:color w:val="1155CC"/>
                  <w:u w:val="single"/>
                </w:rPr>
                <w:t xml:space="preserve">Chapter 4 in Contested City: Art and Public History as Mediation at New York's Seward Park </w:t>
              </w:r>
              <w:r>
                <w:rPr>
                  <w:rFonts w:ascii="Lato" w:eastAsia="Lato" w:hAnsi="Lato" w:cs="Lato"/>
                  <w:color w:val="1155CC"/>
                  <w:u w:val="single"/>
                </w:rPr>
                <w:t xml:space="preserve">Urban Renewal Area </w:t>
              </w:r>
            </w:hyperlink>
            <w:r>
              <w:rPr>
                <w:rFonts w:ascii="Lato" w:eastAsia="Lato" w:hAnsi="Lato" w:cs="Lato"/>
              </w:rPr>
              <w:t xml:space="preserve">by </w:t>
            </w:r>
            <w:proofErr w:type="spellStart"/>
            <w:r>
              <w:rPr>
                <w:rFonts w:ascii="Lato" w:eastAsia="Lato" w:hAnsi="Lato" w:cs="Lato"/>
              </w:rPr>
              <w:t>Bendiner-Viani</w:t>
            </w:r>
            <w:proofErr w:type="spellEnd"/>
          </w:p>
        </w:tc>
      </w:tr>
      <w:tr w:rsidR="00133984" w:rsidTr="00E72F35">
        <w:trPr>
          <w:trHeight w:val="1928"/>
        </w:trPr>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2/20</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 xml:space="preserve">CBPAR and Policy Possibilities </w:t>
            </w:r>
          </w:p>
          <w:p w:rsidR="00133984" w:rsidRDefault="00133984">
            <w:pPr>
              <w:widowControl w:val="0"/>
              <w:spacing w:line="240" w:lineRule="auto"/>
              <w:rPr>
                <w:rFonts w:ascii="Lato" w:eastAsia="Lato" w:hAnsi="Lato" w:cs="Lato"/>
              </w:rPr>
            </w:pPr>
          </w:p>
          <w:p w:rsidR="00133984" w:rsidRDefault="00370B6A">
            <w:pPr>
              <w:widowControl w:val="0"/>
              <w:spacing w:line="240" w:lineRule="auto"/>
              <w:rPr>
                <w:rFonts w:ascii="Lato" w:eastAsia="Lato" w:hAnsi="Lato" w:cs="Lato"/>
                <w:i/>
                <w:highlight w:val="yellow"/>
              </w:rPr>
            </w:pPr>
            <w:r>
              <w:rPr>
                <w:rFonts w:ascii="Lato" w:eastAsia="Lato" w:hAnsi="Lato" w:cs="Lato"/>
                <w:i/>
                <w:highlight w:val="yellow"/>
              </w:rPr>
              <w:t>*Class on Zoom*</w:t>
            </w:r>
          </w:p>
        </w:tc>
        <w:tc>
          <w:tcPr>
            <w:tcW w:w="5550" w:type="dxa"/>
            <w:shd w:val="clear" w:color="auto" w:fill="auto"/>
            <w:tcMar>
              <w:top w:w="100" w:type="dxa"/>
              <w:left w:w="100" w:type="dxa"/>
              <w:bottom w:w="100" w:type="dxa"/>
              <w:right w:w="100" w:type="dxa"/>
            </w:tcMar>
          </w:tcPr>
          <w:p w:rsidR="00133984" w:rsidRDefault="00370B6A">
            <w:pPr>
              <w:widowControl w:val="0"/>
              <w:pBdr>
                <w:bottom w:val="none" w:sz="0" w:space="15" w:color="auto"/>
              </w:pBdr>
              <w:shd w:val="clear" w:color="auto" w:fill="FFFFFF"/>
              <w:spacing w:line="240" w:lineRule="auto"/>
              <w:rPr>
                <w:rFonts w:ascii="Lato" w:eastAsia="Lato" w:hAnsi="Lato" w:cs="Lato"/>
              </w:rPr>
            </w:pPr>
            <w:hyperlink r:id="rId19">
              <w:r>
                <w:rPr>
                  <w:rFonts w:ascii="Lato" w:eastAsia="Lato" w:hAnsi="Lato" w:cs="Lato"/>
                  <w:color w:val="1155CC"/>
                  <w:u w:val="single"/>
                </w:rPr>
                <w:t>CBPR: Strategy for Building Healthy Communities and Promoting Health through Policy Change</w:t>
              </w:r>
            </w:hyperlink>
            <w:r>
              <w:rPr>
                <w:rFonts w:ascii="Lato" w:eastAsia="Lato" w:hAnsi="Lato" w:cs="Lato"/>
              </w:rPr>
              <w:t xml:space="preserve"> (p. 1-30) by Policy Link</w:t>
            </w:r>
          </w:p>
          <w:p w:rsidR="00133984" w:rsidRDefault="00370B6A">
            <w:pPr>
              <w:shd w:val="clear" w:color="auto" w:fill="FFFFFF"/>
              <w:rPr>
                <w:rFonts w:ascii="Lato" w:eastAsia="Lato" w:hAnsi="Lato" w:cs="Lato"/>
              </w:rPr>
            </w:pPr>
            <w:hyperlink r:id="rId20">
              <w:r>
                <w:rPr>
                  <w:rFonts w:ascii="Lato" w:eastAsia="Lato" w:hAnsi="Lato" w:cs="Lato"/>
                  <w:color w:val="1155CC"/>
                  <w:highlight w:val="white"/>
                  <w:u w:val="single"/>
                </w:rPr>
                <w:t>Research, organizing and policy change: Methods and lessons on the path from participatory action research to a right to counsel in New York City</w:t>
              </w:r>
            </w:hyperlink>
            <w:r>
              <w:rPr>
                <w:rFonts w:ascii="Lato" w:eastAsia="Lato" w:hAnsi="Lato" w:cs="Lato"/>
                <w:highlight w:val="white"/>
              </w:rPr>
              <w:t xml:space="preserve"> by </w:t>
            </w:r>
            <w:proofErr w:type="spellStart"/>
            <w:r>
              <w:rPr>
                <w:rFonts w:ascii="Lato" w:eastAsia="Lato" w:hAnsi="Lato" w:cs="Lato"/>
                <w:highlight w:val="white"/>
              </w:rPr>
              <w:t>Kasden</w:t>
            </w:r>
            <w:proofErr w:type="spellEnd"/>
          </w:p>
        </w:tc>
      </w:tr>
      <w:tr w:rsidR="00133984" w:rsidTr="00E72F35">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2/27</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CBPAR and the Possibilities of Power Relations</w:t>
            </w:r>
          </w:p>
        </w:tc>
        <w:tc>
          <w:tcPr>
            <w:tcW w:w="5550" w:type="dxa"/>
            <w:shd w:val="clear" w:color="auto" w:fill="auto"/>
            <w:tcMar>
              <w:top w:w="100" w:type="dxa"/>
              <w:left w:w="100" w:type="dxa"/>
              <w:bottom w:w="100" w:type="dxa"/>
              <w:right w:w="100" w:type="dxa"/>
            </w:tcMar>
          </w:tcPr>
          <w:p w:rsidR="00133984" w:rsidRDefault="00370B6A">
            <w:pPr>
              <w:spacing w:line="240" w:lineRule="auto"/>
              <w:rPr>
                <w:rFonts w:ascii="Lato" w:eastAsia="Lato" w:hAnsi="Lato" w:cs="Lato"/>
              </w:rPr>
            </w:pPr>
            <w:hyperlink r:id="rId21">
              <w:r>
                <w:rPr>
                  <w:rFonts w:ascii="Lato" w:eastAsia="Lato" w:hAnsi="Lato" w:cs="Lato"/>
                  <w:color w:val="1155CC"/>
                  <w:u w:val="single"/>
                </w:rPr>
                <w:t>Making Power Explicit</w:t>
              </w:r>
            </w:hyperlink>
            <w:r>
              <w:rPr>
                <w:rFonts w:ascii="Lato" w:eastAsia="Lato" w:hAnsi="Lato" w:cs="Lato"/>
              </w:rPr>
              <w:t xml:space="preserve"> by Littman, et al.</w:t>
            </w:r>
          </w:p>
          <w:p w:rsidR="00133984" w:rsidRDefault="00133984">
            <w:pPr>
              <w:spacing w:line="240" w:lineRule="auto"/>
              <w:rPr>
                <w:rFonts w:ascii="Lato" w:eastAsia="Lato" w:hAnsi="Lato" w:cs="Lato"/>
              </w:rPr>
            </w:pPr>
          </w:p>
          <w:p w:rsidR="00133984" w:rsidRDefault="00370B6A">
            <w:pPr>
              <w:spacing w:line="240" w:lineRule="auto"/>
              <w:rPr>
                <w:rFonts w:ascii="Lato" w:eastAsia="Lato" w:hAnsi="Lato" w:cs="Lato"/>
              </w:rPr>
            </w:pPr>
            <w:hyperlink r:id="rId22">
              <w:r>
                <w:rPr>
                  <w:rFonts w:ascii="Lato" w:eastAsia="Lato" w:hAnsi="Lato" w:cs="Lato"/>
                  <w:color w:val="1155CC"/>
                  <w:u w:val="single"/>
                </w:rPr>
                <w:t xml:space="preserve">Why Am I </w:t>
              </w:r>
              <w:r>
                <w:rPr>
                  <w:rFonts w:ascii="Lato" w:eastAsia="Lato" w:hAnsi="Lato" w:cs="Lato"/>
                  <w:color w:val="1155CC"/>
                  <w:u w:val="single"/>
                </w:rPr>
                <w:t>Always Being Researched?</w:t>
              </w:r>
            </w:hyperlink>
            <w:r>
              <w:rPr>
                <w:rFonts w:ascii="Lato" w:eastAsia="Lato" w:hAnsi="Lato" w:cs="Lato"/>
              </w:rPr>
              <w:t xml:space="preserve"> by Chicago Beyond (only </w:t>
            </w:r>
            <w:proofErr w:type="spellStart"/>
            <w:r>
              <w:rPr>
                <w:rFonts w:ascii="Lato" w:eastAsia="Lato" w:hAnsi="Lato" w:cs="Lato"/>
              </w:rPr>
              <w:t>pgs</w:t>
            </w:r>
            <w:proofErr w:type="spellEnd"/>
            <w:r>
              <w:rPr>
                <w:rFonts w:ascii="Lato" w:eastAsia="Lato" w:hAnsi="Lato" w:cs="Lato"/>
              </w:rPr>
              <w:t xml:space="preserve"> 6-28)</w:t>
            </w:r>
          </w:p>
          <w:p w:rsidR="00133984" w:rsidRDefault="00133984">
            <w:pPr>
              <w:spacing w:line="240" w:lineRule="auto"/>
              <w:rPr>
                <w:rFonts w:ascii="Lato" w:eastAsia="Lato" w:hAnsi="Lato" w:cs="Lato"/>
              </w:rPr>
            </w:pPr>
          </w:p>
          <w:p w:rsidR="00133984" w:rsidRDefault="00370B6A">
            <w:pPr>
              <w:widowControl w:val="0"/>
              <w:spacing w:line="240" w:lineRule="auto"/>
              <w:rPr>
                <w:rFonts w:ascii="Lato" w:eastAsia="Lato" w:hAnsi="Lato" w:cs="Lato"/>
              </w:rPr>
            </w:pPr>
            <w:r>
              <w:rPr>
                <w:rFonts w:ascii="Lato" w:eastAsia="Lato" w:hAnsi="Lato" w:cs="Lato"/>
                <w:i/>
              </w:rPr>
              <w:t>Critical Response Essay #1 Due</w:t>
            </w:r>
          </w:p>
        </w:tc>
      </w:tr>
      <w:tr w:rsidR="00133984" w:rsidTr="00E72F35">
        <w:trPr>
          <w:trHeight w:val="420"/>
        </w:trPr>
        <w:tc>
          <w:tcPr>
            <w:tcW w:w="10335" w:type="dxa"/>
            <w:gridSpan w:val="3"/>
            <w:shd w:val="clear" w:color="auto" w:fill="D9D9D9"/>
            <w:tcMar>
              <w:top w:w="100" w:type="dxa"/>
              <w:left w:w="100" w:type="dxa"/>
              <w:bottom w:w="100" w:type="dxa"/>
              <w:right w:w="100" w:type="dxa"/>
            </w:tcMar>
          </w:tcPr>
          <w:p w:rsidR="00133984" w:rsidRDefault="00370B6A">
            <w:pPr>
              <w:widowControl w:val="0"/>
              <w:spacing w:line="240" w:lineRule="auto"/>
              <w:jc w:val="center"/>
              <w:rPr>
                <w:rFonts w:ascii="Lato" w:eastAsia="Lato" w:hAnsi="Lato" w:cs="Lato"/>
                <w:b/>
              </w:rPr>
            </w:pPr>
            <w:r>
              <w:rPr>
                <w:rFonts w:ascii="Lato" w:eastAsia="Lato" w:hAnsi="Lato" w:cs="Lato"/>
                <w:b/>
              </w:rPr>
              <w:t>Unit 3: What are the challenges and drawbacks of CBPAR?</w:t>
            </w:r>
          </w:p>
        </w:tc>
      </w:tr>
      <w:tr w:rsidR="00133984" w:rsidTr="00E72F35">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3/5</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Ethics of CBPAR</w:t>
            </w:r>
          </w:p>
        </w:tc>
        <w:tc>
          <w:tcPr>
            <w:tcW w:w="555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hyperlink r:id="rId23">
              <w:r>
                <w:rPr>
                  <w:rFonts w:ascii="Lato" w:eastAsia="Lato" w:hAnsi="Lato" w:cs="Lato"/>
                  <w:color w:val="1155CC"/>
                  <w:u w:val="single"/>
                </w:rPr>
                <w:t>A Guide to Ethical Principles and Practice</w:t>
              </w:r>
            </w:hyperlink>
            <w:r>
              <w:rPr>
                <w:rFonts w:ascii="Lato" w:eastAsia="Lato" w:hAnsi="Lato" w:cs="Lato"/>
              </w:rPr>
              <w:t xml:space="preserve"> by the Durham University’s Centre for Social Justice and Community Action</w:t>
            </w:r>
          </w:p>
          <w:p w:rsidR="00133984" w:rsidRDefault="00133984">
            <w:pPr>
              <w:widowControl w:val="0"/>
              <w:spacing w:line="240" w:lineRule="auto"/>
              <w:rPr>
                <w:rFonts w:ascii="Lato" w:eastAsia="Lato" w:hAnsi="Lato" w:cs="Lato"/>
              </w:rPr>
            </w:pPr>
          </w:p>
          <w:p w:rsidR="00133984" w:rsidRDefault="00370B6A">
            <w:pPr>
              <w:widowControl w:val="0"/>
              <w:spacing w:line="240" w:lineRule="auto"/>
              <w:rPr>
                <w:rFonts w:ascii="Lato" w:eastAsia="Lato" w:hAnsi="Lato" w:cs="Lato"/>
              </w:rPr>
            </w:pPr>
            <w:hyperlink r:id="rId24">
              <w:r>
                <w:rPr>
                  <w:rFonts w:ascii="Lato" w:eastAsia="Lato" w:hAnsi="Lato" w:cs="Lato"/>
                  <w:color w:val="1155CC"/>
                  <w:u w:val="single"/>
                </w:rPr>
                <w:t>Reciprocity: An Ethic of CBPAR</w:t>
              </w:r>
            </w:hyperlink>
            <w:r>
              <w:rPr>
                <w:rFonts w:ascii="Lato" w:eastAsia="Lato" w:hAnsi="Lato" w:cs="Lato"/>
              </w:rPr>
              <w:t xml:space="preserve"> by </w:t>
            </w:r>
            <w:proofErr w:type="spellStart"/>
            <w:r>
              <w:rPr>
                <w:rFonts w:ascii="Lato" w:eastAsia="Lato" w:hAnsi="Lato" w:cs="Lato"/>
              </w:rPr>
              <w:t>Maiter</w:t>
            </w:r>
            <w:proofErr w:type="spellEnd"/>
            <w:r>
              <w:rPr>
                <w:rFonts w:ascii="Lato" w:eastAsia="Lato" w:hAnsi="Lato" w:cs="Lato"/>
              </w:rPr>
              <w:t xml:space="preserve">, et al. </w:t>
            </w:r>
          </w:p>
        </w:tc>
      </w:tr>
      <w:tr w:rsidR="00133984" w:rsidTr="00E72F35">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3/12</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 xml:space="preserve">Challenges of CBPAR Part I </w:t>
            </w:r>
          </w:p>
        </w:tc>
        <w:tc>
          <w:tcPr>
            <w:tcW w:w="5550" w:type="dxa"/>
            <w:shd w:val="clear" w:color="auto" w:fill="auto"/>
            <w:tcMar>
              <w:top w:w="100" w:type="dxa"/>
              <w:left w:w="100" w:type="dxa"/>
              <w:bottom w:w="100" w:type="dxa"/>
              <w:right w:w="100" w:type="dxa"/>
            </w:tcMar>
          </w:tcPr>
          <w:p w:rsidR="00133984" w:rsidRDefault="00370B6A">
            <w:pPr>
              <w:rPr>
                <w:rFonts w:ascii="Lato" w:eastAsia="Lato" w:hAnsi="Lato" w:cs="Lato"/>
              </w:rPr>
            </w:pPr>
            <w:hyperlink r:id="rId25">
              <w:r>
                <w:rPr>
                  <w:rFonts w:ascii="Lato" w:eastAsia="Lato" w:hAnsi="Lato" w:cs="Lato"/>
                  <w:color w:val="1155CC"/>
                  <w:u w:val="single"/>
                </w:rPr>
                <w:t>Practical, Epistemological, and Ethical Challenges of PAR</w:t>
              </w:r>
            </w:hyperlink>
            <w:r>
              <w:rPr>
                <w:rFonts w:ascii="Lato" w:eastAsia="Lato" w:hAnsi="Lato" w:cs="Lato"/>
              </w:rPr>
              <w:t xml:space="preserve"> by Lake and Wendland</w:t>
            </w:r>
          </w:p>
          <w:p w:rsidR="00133984" w:rsidRDefault="00133984">
            <w:pPr>
              <w:shd w:val="clear" w:color="auto" w:fill="FFFFFF"/>
              <w:rPr>
                <w:rFonts w:ascii="Lato" w:eastAsia="Lato" w:hAnsi="Lato" w:cs="Lato"/>
              </w:rPr>
            </w:pPr>
          </w:p>
          <w:p w:rsidR="00133984" w:rsidRDefault="00370B6A">
            <w:pPr>
              <w:rPr>
                <w:rFonts w:ascii="Lato" w:eastAsia="Lato" w:hAnsi="Lato" w:cs="Lato"/>
              </w:rPr>
            </w:pPr>
            <w:hyperlink r:id="rId26">
              <w:r>
                <w:rPr>
                  <w:rFonts w:ascii="Lato" w:eastAsia="Lato" w:hAnsi="Lato" w:cs="Lato"/>
                  <w:color w:val="1155CC"/>
                  <w:u w:val="single"/>
                </w:rPr>
                <w:t>Traversing Rough Terrain: Methodological Challenges</w:t>
              </w:r>
            </w:hyperlink>
            <w:r>
              <w:rPr>
                <w:rFonts w:ascii="Lato" w:eastAsia="Lato" w:hAnsi="Lato" w:cs="Lato"/>
              </w:rPr>
              <w:t xml:space="preserve"> by Gilbert</w:t>
            </w:r>
          </w:p>
        </w:tc>
      </w:tr>
      <w:tr w:rsidR="00133984" w:rsidTr="00E72F35">
        <w:trPr>
          <w:trHeight w:val="420"/>
        </w:trPr>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 xml:space="preserve">3/19 </w:t>
            </w:r>
          </w:p>
        </w:tc>
        <w:tc>
          <w:tcPr>
            <w:tcW w:w="9045" w:type="dxa"/>
            <w:gridSpan w:val="2"/>
            <w:shd w:val="clear" w:color="auto" w:fill="auto"/>
            <w:tcMar>
              <w:top w:w="100" w:type="dxa"/>
              <w:left w:w="100" w:type="dxa"/>
              <w:bottom w:w="100" w:type="dxa"/>
              <w:right w:w="100" w:type="dxa"/>
            </w:tcMar>
          </w:tcPr>
          <w:p w:rsidR="00133984" w:rsidRDefault="00370B6A">
            <w:pPr>
              <w:widowControl w:val="0"/>
              <w:spacing w:line="240" w:lineRule="auto"/>
              <w:jc w:val="center"/>
              <w:rPr>
                <w:rFonts w:ascii="Lato" w:eastAsia="Lato" w:hAnsi="Lato" w:cs="Lato"/>
                <w:b/>
                <w:i/>
              </w:rPr>
            </w:pPr>
            <w:r>
              <w:rPr>
                <w:rFonts w:ascii="Lato" w:eastAsia="Lato" w:hAnsi="Lato" w:cs="Lato"/>
                <w:b/>
                <w:i/>
              </w:rPr>
              <w:t>Spring Break - no class</w:t>
            </w:r>
          </w:p>
        </w:tc>
      </w:tr>
      <w:tr w:rsidR="00133984" w:rsidTr="00E72F35">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3/26</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 xml:space="preserve">Challenges of CBPAR Part II  </w:t>
            </w:r>
          </w:p>
        </w:tc>
        <w:tc>
          <w:tcPr>
            <w:tcW w:w="5550" w:type="dxa"/>
            <w:shd w:val="clear" w:color="auto" w:fill="auto"/>
            <w:tcMar>
              <w:top w:w="100" w:type="dxa"/>
              <w:left w:w="100" w:type="dxa"/>
              <w:bottom w:w="100" w:type="dxa"/>
              <w:right w:w="100" w:type="dxa"/>
            </w:tcMar>
          </w:tcPr>
          <w:p w:rsidR="00133984" w:rsidRDefault="00370B6A">
            <w:pPr>
              <w:shd w:val="clear" w:color="auto" w:fill="FFFFFF"/>
              <w:rPr>
                <w:rFonts w:ascii="Lato" w:eastAsia="Lato" w:hAnsi="Lato" w:cs="Lato"/>
              </w:rPr>
            </w:pPr>
            <w:hyperlink r:id="rId27">
              <w:r>
                <w:rPr>
                  <w:rFonts w:ascii="Lato" w:eastAsia="Lato" w:hAnsi="Lato" w:cs="Lato"/>
                  <w:color w:val="1155CC"/>
                  <w:u w:val="single"/>
                </w:rPr>
                <w:t>Don't Leave Us Out: Disability Inclusive Participatory Research – Why and How?</w:t>
              </w:r>
            </w:hyperlink>
            <w:r>
              <w:rPr>
                <w:rFonts w:ascii="Lato" w:eastAsia="Lato" w:hAnsi="Lato" w:cs="Lato"/>
              </w:rPr>
              <w:t xml:space="preserve"> by Wickenden and Lopez-Franco</w:t>
            </w:r>
          </w:p>
          <w:p w:rsidR="00133984" w:rsidRDefault="00133984">
            <w:pPr>
              <w:shd w:val="clear" w:color="auto" w:fill="FFFFFF"/>
              <w:rPr>
                <w:rFonts w:ascii="Lato" w:eastAsia="Lato" w:hAnsi="Lato" w:cs="Lato"/>
              </w:rPr>
            </w:pPr>
          </w:p>
          <w:p w:rsidR="00133984" w:rsidRDefault="00370B6A">
            <w:pPr>
              <w:shd w:val="clear" w:color="auto" w:fill="FFFFFF"/>
              <w:rPr>
                <w:rFonts w:ascii="Lato" w:eastAsia="Lato" w:hAnsi="Lato" w:cs="Lato"/>
              </w:rPr>
            </w:pPr>
            <w:hyperlink r:id="rId28">
              <w:r>
                <w:rPr>
                  <w:rFonts w:ascii="Lato" w:eastAsia="Lato" w:hAnsi="Lato" w:cs="Lato"/>
                  <w:color w:val="1155CC"/>
                  <w:u w:val="single"/>
                </w:rPr>
                <w:t xml:space="preserve">Doing Participatory Action Research in a </w:t>
              </w:r>
              <w:r>
                <w:rPr>
                  <w:rFonts w:ascii="Lato" w:eastAsia="Lato" w:hAnsi="Lato" w:cs="Lato"/>
                  <w:color w:val="1155CC"/>
                  <w:u w:val="single"/>
                </w:rPr>
                <w:t>Racist World</w:t>
              </w:r>
            </w:hyperlink>
            <w:r>
              <w:rPr>
                <w:rFonts w:ascii="Lato" w:eastAsia="Lato" w:hAnsi="Lato" w:cs="Lato"/>
              </w:rPr>
              <w:t xml:space="preserve"> by </w:t>
            </w:r>
            <w:proofErr w:type="spellStart"/>
            <w:r>
              <w:rPr>
                <w:rFonts w:ascii="Lato" w:eastAsia="Lato" w:hAnsi="Lato" w:cs="Lato"/>
              </w:rPr>
              <w:t>Varcoe</w:t>
            </w:r>
            <w:proofErr w:type="spellEnd"/>
            <w:r>
              <w:rPr>
                <w:rFonts w:ascii="Lato" w:eastAsia="Lato" w:hAnsi="Lato" w:cs="Lato"/>
              </w:rPr>
              <w:t xml:space="preserve"> </w:t>
            </w:r>
          </w:p>
          <w:p w:rsidR="00133984" w:rsidRDefault="00133984">
            <w:pPr>
              <w:shd w:val="clear" w:color="auto" w:fill="FFFFFF"/>
              <w:rPr>
                <w:rFonts w:ascii="Lato" w:eastAsia="Lato" w:hAnsi="Lato" w:cs="Lato"/>
              </w:rPr>
            </w:pPr>
          </w:p>
          <w:p w:rsidR="00133984" w:rsidRDefault="00370B6A">
            <w:pPr>
              <w:widowControl w:val="0"/>
              <w:spacing w:line="240" w:lineRule="auto"/>
              <w:rPr>
                <w:rFonts w:ascii="Lato" w:eastAsia="Lato" w:hAnsi="Lato" w:cs="Lato"/>
              </w:rPr>
            </w:pPr>
            <w:r>
              <w:rPr>
                <w:rFonts w:ascii="Lato" w:eastAsia="Lato" w:hAnsi="Lato" w:cs="Lato"/>
                <w:i/>
              </w:rPr>
              <w:t>Critical Response Essay #2 Due</w:t>
            </w:r>
          </w:p>
        </w:tc>
      </w:tr>
      <w:tr w:rsidR="00133984" w:rsidTr="00E72F35">
        <w:trPr>
          <w:trHeight w:val="420"/>
        </w:trPr>
        <w:tc>
          <w:tcPr>
            <w:tcW w:w="10335" w:type="dxa"/>
            <w:gridSpan w:val="3"/>
            <w:shd w:val="clear" w:color="auto" w:fill="D9D9D9"/>
            <w:tcMar>
              <w:top w:w="100" w:type="dxa"/>
              <w:left w:w="100" w:type="dxa"/>
              <w:bottom w:w="100" w:type="dxa"/>
              <w:right w:w="100" w:type="dxa"/>
            </w:tcMar>
          </w:tcPr>
          <w:p w:rsidR="00133984" w:rsidRDefault="00370B6A">
            <w:pPr>
              <w:widowControl w:val="0"/>
              <w:spacing w:line="240" w:lineRule="auto"/>
              <w:jc w:val="center"/>
              <w:rPr>
                <w:rFonts w:ascii="Lato" w:eastAsia="Lato" w:hAnsi="Lato" w:cs="Lato"/>
                <w:b/>
              </w:rPr>
            </w:pPr>
            <w:r>
              <w:rPr>
                <w:rFonts w:ascii="Lato" w:eastAsia="Lato" w:hAnsi="Lato" w:cs="Lato"/>
                <w:b/>
              </w:rPr>
              <w:lastRenderedPageBreak/>
              <w:t>Unit 4: How can we practice CBPAR?</w:t>
            </w:r>
          </w:p>
        </w:tc>
      </w:tr>
      <w:tr w:rsidR="00133984" w:rsidTr="00E72F35">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4/2</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Final Project Simulation Day 1 - Planning and Designing the Research</w:t>
            </w:r>
          </w:p>
        </w:tc>
        <w:tc>
          <w:tcPr>
            <w:tcW w:w="5550" w:type="dxa"/>
            <w:shd w:val="clear" w:color="auto" w:fill="auto"/>
            <w:tcMar>
              <w:top w:w="100" w:type="dxa"/>
              <w:left w:w="100" w:type="dxa"/>
              <w:bottom w:w="100" w:type="dxa"/>
              <w:right w:w="100" w:type="dxa"/>
            </w:tcMar>
          </w:tcPr>
          <w:p w:rsidR="00133984" w:rsidRDefault="00370B6A">
            <w:pPr>
              <w:shd w:val="clear" w:color="auto" w:fill="FFFFFF"/>
              <w:rPr>
                <w:rFonts w:ascii="Lato" w:eastAsia="Lato" w:hAnsi="Lato" w:cs="Lato"/>
              </w:rPr>
            </w:pPr>
            <w:hyperlink r:id="rId29">
              <w:r>
                <w:rPr>
                  <w:rFonts w:ascii="Lato" w:eastAsia="Lato" w:hAnsi="Lato" w:cs="Lato"/>
                  <w:color w:val="1155CC"/>
                  <w:u w:val="single"/>
                </w:rPr>
                <w:t>Research for Organizing Toolkit</w:t>
              </w:r>
            </w:hyperlink>
            <w:r>
              <w:rPr>
                <w:rFonts w:ascii="Lato" w:eastAsia="Lato" w:hAnsi="Lato" w:cs="Lato"/>
              </w:rPr>
              <w:t xml:space="preserve"> by Urban Justice Center</w:t>
            </w:r>
          </w:p>
          <w:p w:rsidR="00133984" w:rsidRDefault="00133984">
            <w:pPr>
              <w:shd w:val="clear" w:color="auto" w:fill="FFFFFF"/>
              <w:rPr>
                <w:rFonts w:ascii="Lato" w:eastAsia="Lato" w:hAnsi="Lato" w:cs="Lato"/>
              </w:rPr>
            </w:pPr>
          </w:p>
          <w:p w:rsidR="00133984" w:rsidRDefault="00370B6A">
            <w:pPr>
              <w:widowControl w:val="0"/>
              <w:spacing w:line="240" w:lineRule="auto"/>
              <w:rPr>
                <w:rFonts w:ascii="Lato" w:eastAsia="Lato" w:hAnsi="Lato" w:cs="Lato"/>
                <w:b/>
              </w:rPr>
            </w:pPr>
            <w:r>
              <w:rPr>
                <w:rFonts w:ascii="Lato" w:eastAsia="Lato" w:hAnsi="Lato" w:cs="Lato"/>
                <w:b/>
              </w:rPr>
              <w:t>Deliverable: Research Design Brief due by 4/9, 12pm ET</w:t>
            </w:r>
          </w:p>
        </w:tc>
      </w:tr>
      <w:tr w:rsidR="00133984" w:rsidTr="00E72F35">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4/9</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Final Project Simulation Day 2 - Conduc</w:t>
            </w:r>
            <w:r>
              <w:rPr>
                <w:rFonts w:ascii="Lato" w:eastAsia="Lato" w:hAnsi="Lato" w:cs="Lato"/>
              </w:rPr>
              <w:t>ting the Research</w:t>
            </w:r>
          </w:p>
          <w:p w:rsidR="00133984" w:rsidRDefault="00133984">
            <w:pPr>
              <w:widowControl w:val="0"/>
              <w:spacing w:line="240" w:lineRule="auto"/>
              <w:rPr>
                <w:rFonts w:ascii="Lato" w:eastAsia="Lato" w:hAnsi="Lato" w:cs="Lato"/>
              </w:rPr>
            </w:pPr>
          </w:p>
        </w:tc>
        <w:tc>
          <w:tcPr>
            <w:tcW w:w="5550" w:type="dxa"/>
            <w:shd w:val="clear" w:color="auto" w:fill="auto"/>
            <w:tcMar>
              <w:top w:w="100" w:type="dxa"/>
              <w:left w:w="100" w:type="dxa"/>
              <w:bottom w:w="100" w:type="dxa"/>
              <w:right w:w="100" w:type="dxa"/>
            </w:tcMar>
          </w:tcPr>
          <w:p w:rsidR="00133984" w:rsidRDefault="00370B6A">
            <w:pPr>
              <w:spacing w:line="240" w:lineRule="auto"/>
              <w:rPr>
                <w:rFonts w:ascii="Lato" w:eastAsia="Lato" w:hAnsi="Lato" w:cs="Lato"/>
              </w:rPr>
            </w:pPr>
            <w:hyperlink r:id="rId30">
              <w:r>
                <w:rPr>
                  <w:rFonts w:ascii="Lato" w:eastAsia="Lato" w:hAnsi="Lato" w:cs="Lato"/>
                  <w:color w:val="1155CC"/>
                  <w:u w:val="single"/>
                </w:rPr>
                <w:t>Why Am I Always Being Researched?</w:t>
              </w:r>
            </w:hyperlink>
            <w:r>
              <w:rPr>
                <w:rFonts w:ascii="Lato" w:eastAsia="Lato" w:hAnsi="Lato" w:cs="Lato"/>
              </w:rPr>
              <w:t xml:space="preserve"> by Chicago Beyond </w:t>
            </w:r>
          </w:p>
          <w:p w:rsidR="00133984" w:rsidRDefault="00133984">
            <w:pPr>
              <w:spacing w:line="240" w:lineRule="auto"/>
              <w:rPr>
                <w:rFonts w:ascii="Lato" w:eastAsia="Lato" w:hAnsi="Lato" w:cs="Lato"/>
              </w:rPr>
            </w:pPr>
          </w:p>
          <w:p w:rsidR="00133984" w:rsidRDefault="00370B6A">
            <w:pPr>
              <w:widowControl w:val="0"/>
              <w:spacing w:line="240" w:lineRule="auto"/>
              <w:rPr>
                <w:rFonts w:ascii="Lato" w:eastAsia="Lato" w:hAnsi="Lato" w:cs="Lato"/>
                <w:b/>
              </w:rPr>
            </w:pPr>
            <w:r>
              <w:rPr>
                <w:rFonts w:ascii="Lato" w:eastAsia="Lato" w:hAnsi="Lato" w:cs="Lato"/>
                <w:b/>
              </w:rPr>
              <w:t xml:space="preserve">Deliverable: Evidence of Data Collection due by 4/16, 12pm ET </w:t>
            </w:r>
          </w:p>
        </w:tc>
      </w:tr>
      <w:tr w:rsidR="00133984" w:rsidTr="00E72F35">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4/16</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 xml:space="preserve">Final Project Simulation Day 3 - </w:t>
            </w:r>
          </w:p>
          <w:p w:rsidR="00133984" w:rsidRDefault="00133984">
            <w:pPr>
              <w:widowControl w:val="0"/>
              <w:spacing w:line="240" w:lineRule="auto"/>
              <w:rPr>
                <w:rFonts w:ascii="Lato" w:eastAsia="Lato" w:hAnsi="Lato" w:cs="Lato"/>
              </w:rPr>
            </w:pPr>
          </w:p>
          <w:p w:rsidR="00133984" w:rsidRDefault="00370B6A">
            <w:pPr>
              <w:widowControl w:val="0"/>
              <w:spacing w:line="240" w:lineRule="auto"/>
              <w:rPr>
                <w:rFonts w:ascii="Lato" w:eastAsia="Lato" w:hAnsi="Lato" w:cs="Lato"/>
              </w:rPr>
            </w:pPr>
            <w:r>
              <w:rPr>
                <w:rFonts w:ascii="Lato" w:eastAsia="Lato" w:hAnsi="Lato" w:cs="Lato"/>
              </w:rPr>
              <w:t xml:space="preserve">Analyzing the Research </w:t>
            </w:r>
          </w:p>
        </w:tc>
        <w:tc>
          <w:tcPr>
            <w:tcW w:w="555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hyperlink r:id="rId31">
              <w:r>
                <w:rPr>
                  <w:rFonts w:ascii="Lato" w:eastAsia="Lato" w:hAnsi="Lato" w:cs="Lato"/>
                  <w:color w:val="1155CC"/>
                  <w:u w:val="single"/>
                </w:rPr>
                <w:t>Child- And Youth-Friendly Participatory Action Research Toolkit</w:t>
              </w:r>
            </w:hyperlink>
            <w:r>
              <w:rPr>
                <w:rFonts w:ascii="Lato" w:eastAsia="Lato" w:hAnsi="Lato" w:cs="Lato"/>
              </w:rPr>
              <w:t xml:space="preserve"> by </w:t>
            </w:r>
            <w:proofErr w:type="spellStart"/>
            <w:r>
              <w:rPr>
                <w:rFonts w:ascii="Lato" w:eastAsia="Lato" w:hAnsi="Lato" w:cs="Lato"/>
              </w:rPr>
              <w:t>ChildFund</w:t>
            </w:r>
            <w:proofErr w:type="spellEnd"/>
            <w:r>
              <w:rPr>
                <w:rFonts w:ascii="Lato" w:eastAsia="Lato" w:hAnsi="Lato" w:cs="Lato"/>
              </w:rPr>
              <w:t xml:space="preserve"> International</w:t>
            </w:r>
          </w:p>
          <w:p w:rsidR="00133984" w:rsidRDefault="00133984">
            <w:pPr>
              <w:widowControl w:val="0"/>
              <w:spacing w:line="240" w:lineRule="auto"/>
              <w:rPr>
                <w:rFonts w:ascii="Lato" w:eastAsia="Lato" w:hAnsi="Lato" w:cs="Lato"/>
              </w:rPr>
            </w:pPr>
          </w:p>
          <w:p w:rsidR="00133984" w:rsidRDefault="00370B6A">
            <w:pPr>
              <w:widowControl w:val="0"/>
              <w:spacing w:line="240" w:lineRule="auto"/>
              <w:rPr>
                <w:rFonts w:ascii="Lato" w:eastAsia="Lato" w:hAnsi="Lato" w:cs="Lato"/>
                <w:b/>
              </w:rPr>
            </w:pPr>
            <w:r>
              <w:rPr>
                <w:rFonts w:ascii="Lato" w:eastAsia="Lato" w:hAnsi="Lato" w:cs="Lato"/>
                <w:b/>
              </w:rPr>
              <w:t>Deliverable: Prelim Data Analysis Memo due by 4/23, 12pm ET</w:t>
            </w:r>
          </w:p>
        </w:tc>
      </w:tr>
      <w:tr w:rsidR="00133984" w:rsidTr="00E72F35">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4/23</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 xml:space="preserve">Final Project Simulation Day 4 - </w:t>
            </w:r>
          </w:p>
          <w:p w:rsidR="00133984" w:rsidRDefault="00370B6A">
            <w:pPr>
              <w:widowControl w:val="0"/>
              <w:spacing w:line="240" w:lineRule="auto"/>
              <w:rPr>
                <w:rFonts w:ascii="Lato" w:eastAsia="Lato" w:hAnsi="Lato" w:cs="Lato"/>
              </w:rPr>
            </w:pPr>
            <w:r>
              <w:rPr>
                <w:rFonts w:ascii="Lato" w:eastAsia="Lato" w:hAnsi="Lato" w:cs="Lato"/>
              </w:rPr>
              <w:t xml:space="preserve">Designing the Intervention </w:t>
            </w:r>
          </w:p>
          <w:p w:rsidR="00133984" w:rsidRDefault="00133984">
            <w:pPr>
              <w:widowControl w:val="0"/>
              <w:spacing w:line="240" w:lineRule="auto"/>
              <w:rPr>
                <w:rFonts w:ascii="Lato" w:eastAsia="Lato" w:hAnsi="Lato" w:cs="Lato"/>
              </w:rPr>
            </w:pPr>
          </w:p>
        </w:tc>
        <w:tc>
          <w:tcPr>
            <w:tcW w:w="555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hyperlink r:id="rId32">
              <w:r>
                <w:rPr>
                  <w:rFonts w:ascii="Lato" w:eastAsia="Lato" w:hAnsi="Lato" w:cs="Lato"/>
                  <w:color w:val="1155CC"/>
                  <w:u w:val="single"/>
                </w:rPr>
                <w:t>Designing Community Interventions</w:t>
              </w:r>
            </w:hyperlink>
            <w:r>
              <w:rPr>
                <w:rFonts w:ascii="Lato" w:eastAsia="Lato" w:hAnsi="Lato" w:cs="Lato"/>
              </w:rPr>
              <w:t xml:space="preserve"> by Center f</w:t>
            </w:r>
            <w:r>
              <w:rPr>
                <w:rFonts w:ascii="Lato" w:eastAsia="Lato" w:hAnsi="Lato" w:cs="Lato"/>
              </w:rPr>
              <w:t xml:space="preserve">or Community Health and Development </w:t>
            </w:r>
          </w:p>
          <w:p w:rsidR="00133984" w:rsidRDefault="00133984">
            <w:pPr>
              <w:widowControl w:val="0"/>
              <w:spacing w:line="240" w:lineRule="auto"/>
              <w:rPr>
                <w:rFonts w:ascii="Lato" w:eastAsia="Lato" w:hAnsi="Lato" w:cs="Lato"/>
              </w:rPr>
            </w:pPr>
          </w:p>
          <w:p w:rsidR="00133984" w:rsidRDefault="00370B6A">
            <w:pPr>
              <w:widowControl w:val="0"/>
              <w:spacing w:line="240" w:lineRule="auto"/>
              <w:rPr>
                <w:rFonts w:ascii="Lato" w:eastAsia="Lato" w:hAnsi="Lato" w:cs="Lato"/>
                <w:b/>
              </w:rPr>
            </w:pPr>
            <w:r>
              <w:rPr>
                <w:rFonts w:ascii="Lato" w:eastAsia="Lato" w:hAnsi="Lato" w:cs="Lato"/>
                <w:b/>
              </w:rPr>
              <w:t>Deliverable: Draft Memo with study results and preliminary intervention design due by 4/30, 12pm ET</w:t>
            </w:r>
          </w:p>
        </w:tc>
      </w:tr>
      <w:tr w:rsidR="00133984" w:rsidTr="00E72F35">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 xml:space="preserve">4/30 </w:t>
            </w:r>
          </w:p>
        </w:tc>
        <w:tc>
          <w:tcPr>
            <w:tcW w:w="3495"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Final Project Simulation Day 5 - Disseminating the Research and Intervention Design</w:t>
            </w:r>
          </w:p>
        </w:tc>
        <w:tc>
          <w:tcPr>
            <w:tcW w:w="555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hyperlink r:id="rId33">
              <w:r>
                <w:rPr>
                  <w:rFonts w:ascii="Lato" w:eastAsia="Lato" w:hAnsi="Lato" w:cs="Lato"/>
                  <w:color w:val="1155CC"/>
                  <w:u w:val="single"/>
                </w:rPr>
                <w:t>Dissemination as Dialogue</w:t>
              </w:r>
            </w:hyperlink>
            <w:r>
              <w:rPr>
                <w:rFonts w:ascii="Lato" w:eastAsia="Lato" w:hAnsi="Lato" w:cs="Lato"/>
              </w:rPr>
              <w:t xml:space="preserve"> by the CDC</w:t>
            </w:r>
          </w:p>
          <w:p w:rsidR="00133984" w:rsidRDefault="00133984">
            <w:pPr>
              <w:widowControl w:val="0"/>
              <w:spacing w:line="240" w:lineRule="auto"/>
              <w:rPr>
                <w:rFonts w:ascii="Lato" w:eastAsia="Lato" w:hAnsi="Lato" w:cs="Lato"/>
              </w:rPr>
            </w:pPr>
          </w:p>
          <w:p w:rsidR="00133984" w:rsidRDefault="00370B6A">
            <w:pPr>
              <w:widowControl w:val="0"/>
              <w:spacing w:line="240" w:lineRule="auto"/>
              <w:rPr>
                <w:rFonts w:ascii="Lato" w:eastAsia="Lato" w:hAnsi="Lato" w:cs="Lato"/>
                <w:b/>
                <w:i/>
              </w:rPr>
            </w:pPr>
            <w:r>
              <w:rPr>
                <w:rFonts w:ascii="Lato" w:eastAsia="Lato" w:hAnsi="Lato" w:cs="Lato"/>
                <w:b/>
              </w:rPr>
              <w:t>Final Deliverable: Slide Deck, up to 30-minute presentation + submission of Final Research Brief</w:t>
            </w:r>
          </w:p>
          <w:p w:rsidR="00133984" w:rsidRDefault="00133984">
            <w:pPr>
              <w:widowControl w:val="0"/>
              <w:spacing w:line="240" w:lineRule="auto"/>
              <w:rPr>
                <w:rFonts w:ascii="Lato" w:eastAsia="Lato" w:hAnsi="Lato" w:cs="Lato"/>
                <w:i/>
              </w:rPr>
            </w:pPr>
          </w:p>
          <w:p w:rsidR="00133984" w:rsidRDefault="00370B6A">
            <w:pPr>
              <w:widowControl w:val="0"/>
              <w:spacing w:line="240" w:lineRule="auto"/>
              <w:rPr>
                <w:rFonts w:ascii="Lato" w:eastAsia="Lato" w:hAnsi="Lato" w:cs="Lato"/>
                <w:i/>
              </w:rPr>
            </w:pPr>
            <w:r>
              <w:rPr>
                <w:rFonts w:ascii="Lato" w:eastAsia="Lato" w:hAnsi="Lato" w:cs="Lato"/>
                <w:i/>
              </w:rPr>
              <w:t>A panel of judges will join the class to provide feedback</w:t>
            </w:r>
          </w:p>
        </w:tc>
      </w:tr>
      <w:tr w:rsidR="00133984" w:rsidTr="00E72F35">
        <w:trPr>
          <w:trHeight w:val="420"/>
        </w:trPr>
        <w:tc>
          <w:tcPr>
            <w:tcW w:w="1290" w:type="dxa"/>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rPr>
            </w:pPr>
            <w:r>
              <w:rPr>
                <w:rFonts w:ascii="Lato" w:eastAsia="Lato" w:hAnsi="Lato" w:cs="Lato"/>
              </w:rPr>
              <w:t>5/7</w:t>
            </w:r>
          </w:p>
        </w:tc>
        <w:tc>
          <w:tcPr>
            <w:tcW w:w="9045" w:type="dxa"/>
            <w:gridSpan w:val="2"/>
            <w:shd w:val="clear" w:color="auto" w:fill="auto"/>
            <w:tcMar>
              <w:top w:w="100" w:type="dxa"/>
              <w:left w:w="100" w:type="dxa"/>
              <w:bottom w:w="100" w:type="dxa"/>
              <w:right w:w="100" w:type="dxa"/>
            </w:tcMar>
          </w:tcPr>
          <w:p w:rsidR="00133984" w:rsidRDefault="00370B6A">
            <w:pPr>
              <w:widowControl w:val="0"/>
              <w:spacing w:line="240" w:lineRule="auto"/>
              <w:rPr>
                <w:rFonts w:ascii="Lato" w:eastAsia="Lato" w:hAnsi="Lato" w:cs="Lato"/>
                <w:i/>
              </w:rPr>
            </w:pPr>
            <w:r>
              <w:rPr>
                <w:rFonts w:ascii="Lato" w:eastAsia="Lato" w:hAnsi="Lato" w:cs="Lato"/>
                <w:i/>
              </w:rPr>
              <w:t xml:space="preserve">Finals Exam Week </w:t>
            </w:r>
          </w:p>
        </w:tc>
      </w:tr>
    </w:tbl>
    <w:p w:rsidR="00133984" w:rsidRDefault="00370B6A" w:rsidP="00E72F35">
      <w:pPr>
        <w:pStyle w:val="Heading1"/>
      </w:pPr>
      <w:r>
        <w:t xml:space="preserve">Assignments </w:t>
      </w:r>
      <w:r w:rsidRPr="00E72F35">
        <w:rPr>
          <w:b w:val="0"/>
          <w:i/>
        </w:rPr>
        <w:t>(see syllabus and Brightspace for due dates)</w:t>
      </w:r>
    </w:p>
    <w:p w:rsidR="00133984" w:rsidRDefault="00370B6A" w:rsidP="00E72F35">
      <w:pPr>
        <w:pStyle w:val="Heading2"/>
      </w:pPr>
      <w:r>
        <w:t>Critical Response Essays</w:t>
      </w:r>
    </w:p>
    <w:p w:rsidR="00133984" w:rsidRDefault="00370B6A">
      <w:pPr>
        <w:rPr>
          <w:rFonts w:ascii="Lato" w:eastAsia="Lato" w:hAnsi="Lato" w:cs="Lato"/>
        </w:rPr>
      </w:pPr>
      <w:r>
        <w:rPr>
          <w:rFonts w:ascii="Lato" w:eastAsia="Lato" w:hAnsi="Lato" w:cs="Lato"/>
        </w:rPr>
        <w:t xml:space="preserve">To think more deeply about the conceptual frameworks and methodological </w:t>
      </w:r>
      <w:proofErr w:type="gramStart"/>
      <w:r>
        <w:rPr>
          <w:rFonts w:ascii="Lato" w:eastAsia="Lato" w:hAnsi="Lato" w:cs="Lato"/>
        </w:rPr>
        <w:t>possibilities,  you</w:t>
      </w:r>
      <w:proofErr w:type="gramEnd"/>
      <w:r>
        <w:rPr>
          <w:rFonts w:ascii="Lato" w:eastAsia="Lato" w:hAnsi="Lato" w:cs="Lato"/>
        </w:rPr>
        <w:t xml:space="preserve"> will write two Critical Response Essays to deepen your understanding. You will explore what the texts </w:t>
      </w:r>
      <w:r>
        <w:rPr>
          <w:rFonts w:ascii="Lato" w:eastAsia="Lato" w:hAnsi="Lato" w:cs="Lato"/>
        </w:rPr>
        <w:lastRenderedPageBreak/>
        <w:t>mean in the context of CBPAR projects and how the texts help o</w:t>
      </w:r>
      <w:r>
        <w:rPr>
          <w:rFonts w:ascii="Lato" w:eastAsia="Lato" w:hAnsi="Lato" w:cs="Lato"/>
        </w:rPr>
        <w:t xml:space="preserve">r do not help you understand the broader aims of this course. </w:t>
      </w:r>
    </w:p>
    <w:p w:rsidR="00133984" w:rsidRDefault="00370B6A" w:rsidP="00E72F35">
      <w:pPr>
        <w:pStyle w:val="Heading3"/>
      </w:pPr>
      <w:r>
        <w:t xml:space="preserve">Essay 1: Intellectual Traditions and </w:t>
      </w:r>
      <w:proofErr w:type="spellStart"/>
      <w:r>
        <w:t>Geneology</w:t>
      </w:r>
      <w:proofErr w:type="spellEnd"/>
      <w:r>
        <w:t xml:space="preserve"> </w:t>
      </w:r>
    </w:p>
    <w:p w:rsidR="00133984" w:rsidRDefault="00370B6A">
      <w:pPr>
        <w:ind w:left="720"/>
        <w:rPr>
          <w:rFonts w:ascii="Lato" w:eastAsia="Lato" w:hAnsi="Lato" w:cs="Lato"/>
          <w:i/>
        </w:rPr>
      </w:pPr>
      <w:r>
        <w:rPr>
          <w:rFonts w:ascii="Lato" w:eastAsia="Lato" w:hAnsi="Lato" w:cs="Lato"/>
        </w:rPr>
        <w:t>Reflexivity is about acknowledging your role in the research. As a CBPAR researcher, you are part of the research process, and your prior experi</w:t>
      </w:r>
      <w:r>
        <w:rPr>
          <w:rFonts w:ascii="Lato" w:eastAsia="Lato" w:hAnsi="Lato" w:cs="Lato"/>
        </w:rPr>
        <w:t xml:space="preserve">ences, assumptions, and beliefs will influence the research process. In this essay, I want you to respond to four areas related to your intellectual traditions and genealogy. Think about this assignment as an articulation of your intellectual family tree. </w:t>
      </w:r>
      <w:r>
        <w:rPr>
          <w:rFonts w:ascii="Lato" w:eastAsia="Lato" w:hAnsi="Lato" w:cs="Lato"/>
        </w:rPr>
        <w:t xml:space="preserve">See the </w:t>
      </w:r>
      <w:hyperlink r:id="rId34">
        <w:r>
          <w:rPr>
            <w:rFonts w:ascii="Lato" w:eastAsia="Lato" w:hAnsi="Lato" w:cs="Lato"/>
            <w:color w:val="1155CC"/>
            <w:u w:val="single"/>
          </w:rPr>
          <w:t>assignment sheet</w:t>
        </w:r>
      </w:hyperlink>
      <w:r>
        <w:rPr>
          <w:rFonts w:ascii="Lato" w:eastAsia="Lato" w:hAnsi="Lato" w:cs="Lato"/>
        </w:rPr>
        <w:t xml:space="preserve"> for instructions. </w:t>
      </w:r>
    </w:p>
    <w:p w:rsidR="00133984" w:rsidRDefault="00370B6A" w:rsidP="00E72F35">
      <w:pPr>
        <w:pStyle w:val="Heading3"/>
      </w:pPr>
      <w:r>
        <w:t>Essay 2: CBPAR Possibilities, Ethics, and Challenges</w:t>
      </w:r>
    </w:p>
    <w:p w:rsidR="00133984" w:rsidRDefault="00370B6A">
      <w:pPr>
        <w:ind w:left="720"/>
        <w:rPr>
          <w:rFonts w:ascii="Lato" w:eastAsia="Lato" w:hAnsi="Lato" w:cs="Lato"/>
        </w:rPr>
      </w:pPr>
      <w:r>
        <w:rPr>
          <w:rFonts w:ascii="Lato" w:eastAsia="Lato" w:hAnsi="Lato" w:cs="Lato"/>
        </w:rPr>
        <w:t>Select at least one possibility and at lea</w:t>
      </w:r>
      <w:r>
        <w:rPr>
          <w:rFonts w:ascii="Lato" w:eastAsia="Lato" w:hAnsi="Lato" w:cs="Lato"/>
        </w:rPr>
        <w:t>st one ethical issue or challenge we have discussed this semester. Consider the readings as well as the participatory methods we practice in class. Describe with detail and citations from the course readings what the possibility and ethical issues/challeng</w:t>
      </w:r>
      <w:r>
        <w:rPr>
          <w:rFonts w:ascii="Lato" w:eastAsia="Lato" w:hAnsi="Lato" w:cs="Lato"/>
        </w:rPr>
        <w:t xml:space="preserve">es are. Then, interpret how you understand their relevance to your growing understanding of CBPAR and the final project.  (2 pages single-spaced) </w:t>
      </w:r>
    </w:p>
    <w:p w:rsidR="00133984" w:rsidRDefault="00370B6A" w:rsidP="00E72F35">
      <w:pPr>
        <w:pStyle w:val="Heading2"/>
      </w:pPr>
      <w:r>
        <w:t>In-Class Facilitation</w:t>
      </w:r>
    </w:p>
    <w:p w:rsidR="00133984" w:rsidRDefault="00370B6A">
      <w:pPr>
        <w:rPr>
          <w:rFonts w:ascii="Lato" w:eastAsia="Lato" w:hAnsi="Lato" w:cs="Lato"/>
        </w:rPr>
      </w:pPr>
      <w:r>
        <w:rPr>
          <w:rFonts w:ascii="Lato" w:eastAsia="Lato" w:hAnsi="Lato" w:cs="Lato"/>
        </w:rPr>
        <w:t xml:space="preserve">Each week during Units 2 and 3, dyads or triads of students will facilitate the class </w:t>
      </w:r>
      <w:r>
        <w:rPr>
          <w:rFonts w:ascii="Lato" w:eastAsia="Lato" w:hAnsi="Lato" w:cs="Lato"/>
        </w:rPr>
        <w:t xml:space="preserve">to try out a participatory method. The method of facilitation should be between 30 and 45 minutes. The small groups will be assigned a method to explore and experiment with. More detailed instructions will be provided as we approach Unit 2. </w:t>
      </w:r>
    </w:p>
    <w:p w:rsidR="00133984" w:rsidRDefault="00370B6A" w:rsidP="00E72F35">
      <w:pPr>
        <w:pStyle w:val="Heading2"/>
      </w:pPr>
      <w:r>
        <w:t>Final Project</w:t>
      </w:r>
      <w:r>
        <w:t xml:space="preserve">: CBPAR Simulation </w:t>
      </w:r>
    </w:p>
    <w:p w:rsidR="00133984" w:rsidRDefault="00370B6A">
      <w:pPr>
        <w:rPr>
          <w:rFonts w:ascii="Lato" w:eastAsia="Lato" w:hAnsi="Lato" w:cs="Lato"/>
        </w:rPr>
      </w:pPr>
      <w:r>
        <w:rPr>
          <w:rFonts w:ascii="Lato" w:eastAsia="Lato" w:hAnsi="Lato" w:cs="Lato"/>
        </w:rPr>
        <w:t>The class will conduct a simulated CBPAR project. Students will move through various stages of the CBPAR process during Unit 4, from identifying the issue to planning and executing the research to designing an action/intervention and fi</w:t>
      </w:r>
      <w:r>
        <w:rPr>
          <w:rFonts w:ascii="Lato" w:eastAsia="Lato" w:hAnsi="Lato" w:cs="Lato"/>
        </w:rPr>
        <w:t>nally disseminating the action/intervention. On the last day of class, students will present their CBPAR project’s simulated findings and action/intervention to a panel of CBPAR practitioners for evaluation and constructive feedback. More detailed instruct</w:t>
      </w:r>
      <w:r>
        <w:rPr>
          <w:rFonts w:ascii="Lato" w:eastAsia="Lato" w:hAnsi="Lato" w:cs="Lato"/>
        </w:rPr>
        <w:t xml:space="preserve">ions will be provided as we approach Unit 4. </w:t>
      </w:r>
    </w:p>
    <w:p w:rsidR="00133984" w:rsidRDefault="00370B6A" w:rsidP="00E72F35">
      <w:pPr>
        <w:pStyle w:val="Heading2"/>
      </w:pPr>
      <w:r>
        <w:t xml:space="preserve">Final Reflection Artifact </w:t>
      </w:r>
    </w:p>
    <w:p w:rsidR="00133984" w:rsidRDefault="00370B6A">
      <w:pPr>
        <w:spacing w:line="240" w:lineRule="auto"/>
        <w:rPr>
          <w:rFonts w:ascii="Lato" w:eastAsia="Lato" w:hAnsi="Lato" w:cs="Lato"/>
        </w:rPr>
      </w:pPr>
      <w:r>
        <w:rPr>
          <w:rFonts w:ascii="Lato" w:eastAsia="Lato" w:hAnsi="Lato" w:cs="Lato"/>
        </w:rPr>
        <w:t xml:space="preserve">Reflect on the course keywords/phrases/readings. Then, submit a reflection artifact. More detailed instructions will be provided as we approach Unit 4. </w:t>
      </w:r>
    </w:p>
    <w:p w:rsidR="00133984" w:rsidRDefault="00370B6A" w:rsidP="00E72F35">
      <w:pPr>
        <w:pStyle w:val="Heading1"/>
      </w:pPr>
      <w:r>
        <w:t xml:space="preserve">Assignments and Deadlines </w:t>
      </w:r>
    </w:p>
    <w:p w:rsidR="00133984" w:rsidRDefault="00370B6A">
      <w:pPr>
        <w:spacing w:line="240" w:lineRule="auto"/>
        <w:rPr>
          <w:rFonts w:ascii="Lato" w:eastAsia="Lato" w:hAnsi="Lato" w:cs="Lato"/>
        </w:rPr>
      </w:pPr>
      <w:r>
        <w:rPr>
          <w:rFonts w:ascii="Lato" w:eastAsia="Lato" w:hAnsi="Lato" w:cs="Lato"/>
        </w:rPr>
        <w:t>T</w:t>
      </w:r>
      <w:r>
        <w:rPr>
          <w:rFonts w:ascii="Lato" w:eastAsia="Lato" w:hAnsi="Lato" w:cs="Lato"/>
        </w:rPr>
        <w:t>here are (3) kinds of assignments in this course: Unit 1 and Unit 2 assessments, a Teaching &amp; Learning facilitation, and a Final Group Project. All readings, assignments, and preparation for class must be completed before the start of class, as noted in th</w:t>
      </w:r>
      <w:r>
        <w:rPr>
          <w:rFonts w:ascii="Lato" w:eastAsia="Lato" w:hAnsi="Lato" w:cs="Lato"/>
        </w:rPr>
        <w:t xml:space="preserve">e schedule. You will find full descriptions of the assignments on Brightspace. </w:t>
      </w:r>
    </w:p>
    <w:p w:rsidR="00133984" w:rsidRDefault="00370B6A" w:rsidP="00E72F35">
      <w:pPr>
        <w:pStyle w:val="Heading2"/>
      </w:pPr>
      <w:r>
        <w:lastRenderedPageBreak/>
        <w:t>Quick Overview of Deadlines</w:t>
      </w:r>
    </w:p>
    <w:tbl>
      <w:tblPr>
        <w:tblStyle w:val="a0"/>
        <w:tblW w:w="9885" w:type="dxa"/>
        <w:tblInd w:w="-3" w:type="dxa"/>
        <w:tblLayout w:type="fixed"/>
        <w:tblLook w:val="0420" w:firstRow="1" w:lastRow="0" w:firstColumn="0" w:lastColumn="0" w:noHBand="0" w:noVBand="1"/>
      </w:tblPr>
      <w:tblGrid>
        <w:gridCol w:w="5475"/>
        <w:gridCol w:w="4410"/>
      </w:tblGrid>
      <w:tr w:rsidR="00133984" w:rsidTr="00E72F35">
        <w:tc>
          <w:tcPr>
            <w:tcW w:w="5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b/>
              </w:rPr>
              <w:t>Major Assignments</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b/>
              </w:rPr>
              <w:t>Due Date</w:t>
            </w:r>
          </w:p>
        </w:tc>
      </w:tr>
      <w:tr w:rsidR="00133984" w:rsidTr="00E72F35">
        <w:trPr>
          <w:trHeight w:val="277"/>
        </w:trPr>
        <w:tc>
          <w:tcPr>
            <w:tcW w:w="5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Critical Response Essay #1</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 xml:space="preserve">2/27, 4pm EDT </w:t>
            </w:r>
          </w:p>
        </w:tc>
      </w:tr>
      <w:tr w:rsidR="00133984" w:rsidTr="00E72F35">
        <w:trPr>
          <w:trHeight w:val="300"/>
        </w:trPr>
        <w:tc>
          <w:tcPr>
            <w:tcW w:w="5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Critical Response Essay #2</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 xml:space="preserve">3/26, 4pm EDT </w:t>
            </w:r>
          </w:p>
        </w:tc>
      </w:tr>
      <w:tr w:rsidR="00133984" w:rsidTr="00E72F35">
        <w:trPr>
          <w:trHeight w:val="249"/>
        </w:trPr>
        <w:tc>
          <w:tcPr>
            <w:tcW w:w="5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 xml:space="preserve">In-Class Facilitation </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 xml:space="preserve">Dates will vary by pairs - see Brightspace </w:t>
            </w:r>
          </w:p>
        </w:tc>
      </w:tr>
      <w:tr w:rsidR="00133984" w:rsidTr="00E72F35">
        <w:tc>
          <w:tcPr>
            <w:tcW w:w="5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Final Project</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 xml:space="preserve">4/30, 12pm EDT </w:t>
            </w:r>
          </w:p>
        </w:tc>
      </w:tr>
      <w:tr w:rsidR="00133984" w:rsidTr="00E72F35">
        <w:tc>
          <w:tcPr>
            <w:tcW w:w="5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 xml:space="preserve">Final Reflection Artifact </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5/</w:t>
            </w:r>
            <w:proofErr w:type="gramStart"/>
            <w:r>
              <w:rPr>
                <w:rFonts w:ascii="Lato" w:eastAsia="Lato" w:hAnsi="Lato" w:cs="Lato"/>
              </w:rPr>
              <w:t>7,  6</w:t>
            </w:r>
            <w:proofErr w:type="gramEnd"/>
            <w:r>
              <w:rPr>
                <w:rFonts w:ascii="Lato" w:eastAsia="Lato" w:hAnsi="Lato" w:cs="Lato"/>
              </w:rPr>
              <w:t>:30pm EDT</w:t>
            </w:r>
          </w:p>
        </w:tc>
      </w:tr>
    </w:tbl>
    <w:p w:rsidR="00133984" w:rsidRDefault="00370B6A" w:rsidP="00E72F35">
      <w:pPr>
        <w:pStyle w:val="Heading1"/>
      </w:pPr>
      <w:r>
        <w:t>Grading Scale</w:t>
      </w:r>
    </w:p>
    <w:p w:rsidR="00133984" w:rsidRDefault="00133984">
      <w:pPr>
        <w:spacing w:line="240" w:lineRule="auto"/>
        <w:rPr>
          <w:rFonts w:ascii="Lato" w:eastAsia="Lato" w:hAnsi="Lato" w:cs="Lato"/>
        </w:rPr>
      </w:pPr>
    </w:p>
    <w:tbl>
      <w:tblPr>
        <w:tblStyle w:val="a1"/>
        <w:tblW w:w="9195" w:type="dxa"/>
        <w:tblInd w:w="-3" w:type="dxa"/>
        <w:tblLayout w:type="fixed"/>
        <w:tblLook w:val="0420" w:firstRow="1" w:lastRow="0" w:firstColumn="0" w:lastColumn="0" w:noHBand="0" w:noVBand="1"/>
      </w:tblPr>
      <w:tblGrid>
        <w:gridCol w:w="5475"/>
        <w:gridCol w:w="3720"/>
      </w:tblGrid>
      <w:tr w:rsidR="00133984" w:rsidTr="00E72F35">
        <w:tc>
          <w:tcPr>
            <w:tcW w:w="5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b/>
              </w:rPr>
              <w:t xml:space="preserve">Graded Course Elements </w:t>
            </w:r>
          </w:p>
        </w:tc>
        <w:tc>
          <w:tcPr>
            <w:tcW w:w="3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b/>
              </w:rPr>
              <w:t>Percent of Final Grade</w:t>
            </w:r>
          </w:p>
        </w:tc>
      </w:tr>
      <w:tr w:rsidR="00133984" w:rsidTr="00E72F35">
        <w:tc>
          <w:tcPr>
            <w:tcW w:w="5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 xml:space="preserve">Weekly attendance and active in-class participation </w:t>
            </w:r>
          </w:p>
        </w:tc>
        <w:tc>
          <w:tcPr>
            <w:tcW w:w="3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10%</w:t>
            </w:r>
          </w:p>
        </w:tc>
      </w:tr>
      <w:tr w:rsidR="00133984" w:rsidTr="00E72F35">
        <w:trPr>
          <w:trHeight w:val="277"/>
        </w:trPr>
        <w:tc>
          <w:tcPr>
            <w:tcW w:w="5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Critical Response Essay #1</w:t>
            </w:r>
          </w:p>
        </w:tc>
        <w:tc>
          <w:tcPr>
            <w:tcW w:w="3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20%</w:t>
            </w:r>
          </w:p>
        </w:tc>
      </w:tr>
      <w:tr w:rsidR="00133984" w:rsidTr="00E72F35">
        <w:trPr>
          <w:trHeight w:val="277"/>
        </w:trPr>
        <w:tc>
          <w:tcPr>
            <w:tcW w:w="5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Critical Response Essay #2</w:t>
            </w:r>
          </w:p>
        </w:tc>
        <w:tc>
          <w:tcPr>
            <w:tcW w:w="3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20%</w:t>
            </w:r>
          </w:p>
        </w:tc>
      </w:tr>
      <w:tr w:rsidR="00133984" w:rsidTr="00E72F35">
        <w:trPr>
          <w:trHeight w:val="277"/>
        </w:trPr>
        <w:tc>
          <w:tcPr>
            <w:tcW w:w="5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 xml:space="preserve">In-Class Facilitation </w:t>
            </w:r>
          </w:p>
        </w:tc>
        <w:tc>
          <w:tcPr>
            <w:tcW w:w="3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 xml:space="preserve">10% </w:t>
            </w:r>
          </w:p>
        </w:tc>
      </w:tr>
      <w:tr w:rsidR="00133984" w:rsidTr="00E72F35">
        <w:tc>
          <w:tcPr>
            <w:tcW w:w="5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 xml:space="preserve">Final Project </w:t>
            </w:r>
          </w:p>
        </w:tc>
        <w:tc>
          <w:tcPr>
            <w:tcW w:w="3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30%</w:t>
            </w:r>
          </w:p>
        </w:tc>
      </w:tr>
      <w:tr w:rsidR="00133984" w:rsidTr="00E72F35">
        <w:tc>
          <w:tcPr>
            <w:tcW w:w="5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 xml:space="preserve">Final Reflection Artifact </w:t>
            </w:r>
          </w:p>
        </w:tc>
        <w:tc>
          <w:tcPr>
            <w:tcW w:w="3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3984" w:rsidRDefault="00370B6A">
            <w:pPr>
              <w:spacing w:line="240" w:lineRule="auto"/>
              <w:rPr>
                <w:rFonts w:ascii="Lato" w:eastAsia="Lato" w:hAnsi="Lato" w:cs="Lato"/>
              </w:rPr>
            </w:pPr>
            <w:r>
              <w:rPr>
                <w:rFonts w:ascii="Lato" w:eastAsia="Lato" w:hAnsi="Lato" w:cs="Lato"/>
              </w:rPr>
              <w:t>10%</w:t>
            </w:r>
          </w:p>
        </w:tc>
      </w:tr>
    </w:tbl>
    <w:p w:rsidR="00133984" w:rsidRDefault="00370B6A" w:rsidP="00E72F35">
      <w:pPr>
        <w:pStyle w:val="Heading1"/>
      </w:pPr>
      <w:r>
        <w:t>In-Class Participation</w:t>
      </w:r>
    </w:p>
    <w:p w:rsidR="00133984" w:rsidRDefault="00370B6A" w:rsidP="00E72F35">
      <w:pPr>
        <w:spacing w:line="256" w:lineRule="auto"/>
        <w:ind w:right="520"/>
        <w:rPr>
          <w:rFonts w:ascii="Lato" w:eastAsia="Lato" w:hAnsi="Lato" w:cs="Lato"/>
        </w:rPr>
      </w:pPr>
      <w:r>
        <w:rPr>
          <w:rFonts w:ascii="Lato" w:eastAsia="Lato" w:hAnsi="Lato" w:cs="Lato"/>
        </w:rPr>
        <w:t xml:space="preserve">Each of us brings different and relevant experiences to the classroom, so we will be learning from each other, challenging our assumptions, and trying to understand the reasoning that underlies our colleagues’ thinking. Active engagement with course ideas </w:t>
      </w:r>
      <w:r>
        <w:rPr>
          <w:rFonts w:ascii="Lato" w:eastAsia="Lato" w:hAnsi="Lato" w:cs="Lato"/>
        </w:rPr>
        <w:t>is essential.</w:t>
      </w:r>
      <w:r>
        <w:rPr>
          <w:rFonts w:ascii="Lato" w:eastAsia="Lato" w:hAnsi="Lato" w:cs="Lato"/>
        </w:rPr>
        <w:t xml:space="preserve"> </w:t>
      </w:r>
    </w:p>
    <w:p w:rsidR="00133984" w:rsidRDefault="00370B6A" w:rsidP="00E72F35">
      <w:pPr>
        <w:pStyle w:val="Heading1"/>
      </w:pPr>
      <w:r>
        <w:t>Statement of Academic Integrity</w:t>
      </w:r>
    </w:p>
    <w:p w:rsidR="00133984" w:rsidRDefault="00370B6A">
      <w:pPr>
        <w:spacing w:line="240" w:lineRule="auto"/>
        <w:rPr>
          <w:rFonts w:ascii="Lato" w:eastAsia="Lato" w:hAnsi="Lato" w:cs="Lato"/>
        </w:rPr>
      </w:pPr>
      <w:r>
        <w:rPr>
          <w:rFonts w:ascii="Lato" w:eastAsia="Lato" w:hAnsi="Lato" w:cs="Lato"/>
        </w:rPr>
        <w:t>All students enrolled in this class are required to read and abide by</w:t>
      </w:r>
      <w:hyperlink r:id="rId35">
        <w:r>
          <w:rPr>
            <w:rFonts w:ascii="Lato" w:eastAsia="Lato" w:hAnsi="Lato" w:cs="Lato"/>
            <w:color w:val="1155CC"/>
            <w:u w:val="single"/>
          </w:rPr>
          <w:t xml:space="preserve"> Wagner’s Academic Code</w:t>
        </w:r>
      </w:hyperlink>
      <w:r>
        <w:rPr>
          <w:rFonts w:ascii="Lato" w:eastAsia="Lato" w:hAnsi="Lato" w:cs="Lato"/>
        </w:rPr>
        <w:t xml:space="preserve">. All Wagner students have already read and signed the </w:t>
      </w:r>
      <w:hyperlink r:id="rId36">
        <w:r>
          <w:rPr>
            <w:rFonts w:ascii="Lato" w:eastAsia="Lato" w:hAnsi="Lato" w:cs="Lato"/>
            <w:color w:val="1155CC"/>
            <w:u w:val="single"/>
          </w:rPr>
          <w:t>Wagner Academic Oath</w:t>
        </w:r>
      </w:hyperlink>
      <w:r>
        <w:rPr>
          <w:rFonts w:ascii="Lato" w:eastAsia="Lato" w:hAnsi="Lato" w:cs="Lato"/>
        </w:rPr>
        <w:t>. Plagiarism of any form will not be tolerated and students in this class are expected to report vio</w:t>
      </w:r>
      <w:r>
        <w:rPr>
          <w:rFonts w:ascii="Lato" w:eastAsia="Lato" w:hAnsi="Lato" w:cs="Lato"/>
        </w:rPr>
        <w:t>lations to me. If you are unsure about what is expected and how to abide by the academic code, you should consult with me.</w:t>
      </w:r>
    </w:p>
    <w:p w:rsidR="00133984" w:rsidRDefault="00370B6A" w:rsidP="00E72F35">
      <w:pPr>
        <w:pStyle w:val="Heading1"/>
      </w:pPr>
      <w:proofErr w:type="spellStart"/>
      <w:r>
        <w:t>ChatGPT</w:t>
      </w:r>
      <w:proofErr w:type="spellEnd"/>
      <w:r>
        <w:t xml:space="preserve"> Guidance</w:t>
      </w:r>
    </w:p>
    <w:p w:rsidR="00133984" w:rsidRDefault="00370B6A">
      <w:pPr>
        <w:shd w:val="clear" w:color="auto" w:fill="FFFFFF"/>
        <w:spacing w:line="240" w:lineRule="auto"/>
        <w:rPr>
          <w:rFonts w:ascii="Lato" w:eastAsia="Lato" w:hAnsi="Lato" w:cs="Lato"/>
          <w:b/>
        </w:rPr>
      </w:pPr>
      <w:r>
        <w:rPr>
          <w:rFonts w:ascii="Lato" w:eastAsia="Lato" w:hAnsi="Lato" w:cs="Lato"/>
        </w:rPr>
        <w:t>The</w:t>
      </w:r>
      <w:hyperlink r:id="rId37">
        <w:r>
          <w:rPr>
            <w:rFonts w:ascii="Lato" w:eastAsia="Lato" w:hAnsi="Lato" w:cs="Lato"/>
            <w:color w:val="1155CC"/>
            <w:u w:val="single"/>
          </w:rPr>
          <w:t xml:space="preserve"> policies of Wagner</w:t>
        </w:r>
      </w:hyperlink>
      <w:r>
        <w:rPr>
          <w:rFonts w:ascii="Lato" w:eastAsia="Lato" w:hAnsi="Lato" w:cs="Lato"/>
        </w:rPr>
        <w:t xml:space="preserve"> require that you complete and submit your own work. If you use </w:t>
      </w:r>
      <w:proofErr w:type="spellStart"/>
      <w:r>
        <w:rPr>
          <w:rFonts w:ascii="Lato" w:eastAsia="Lato" w:hAnsi="Lato" w:cs="Lato"/>
        </w:rPr>
        <w:t>ChatGPT</w:t>
      </w:r>
      <w:proofErr w:type="spellEnd"/>
      <w:r>
        <w:rPr>
          <w:rFonts w:ascii="Lato" w:eastAsia="Lato" w:hAnsi="Lato" w:cs="Lato"/>
        </w:rPr>
        <w:t>, Bard, and other generative AI tools in your work, you must cite them. If you don’t, this violates the school’s norms, and you will b</w:t>
      </w:r>
      <w:r>
        <w:rPr>
          <w:rFonts w:ascii="Lato" w:eastAsia="Lato" w:hAnsi="Lato" w:cs="Lato"/>
        </w:rPr>
        <w:t>e held to the guidance outlined in</w:t>
      </w:r>
      <w:hyperlink r:id="rId38" w:anchor="sec-B1">
        <w:r>
          <w:rPr>
            <w:rFonts w:ascii="Lato" w:eastAsia="Lato" w:hAnsi="Lato" w:cs="Lato"/>
            <w:color w:val="1155CC"/>
            <w:u w:val="single"/>
          </w:rPr>
          <w:t xml:space="preserve"> Wagner’s Academic Integrity Policy </w:t>
        </w:r>
      </w:hyperlink>
      <w:r>
        <w:rPr>
          <w:rFonts w:ascii="Lato" w:eastAsia="Lato" w:hAnsi="Lato" w:cs="Lato"/>
        </w:rPr>
        <w:t xml:space="preserve">. </w:t>
      </w:r>
    </w:p>
    <w:p w:rsidR="00133984" w:rsidRDefault="00370B6A" w:rsidP="00E72F35">
      <w:pPr>
        <w:pStyle w:val="Heading1"/>
      </w:pPr>
      <w:r>
        <w:t xml:space="preserve">Professor J’s Classroom Policies </w:t>
      </w:r>
    </w:p>
    <w:p w:rsidR="00133984" w:rsidRDefault="00370B6A">
      <w:pPr>
        <w:numPr>
          <w:ilvl w:val="0"/>
          <w:numId w:val="3"/>
        </w:numPr>
        <w:spacing w:line="240" w:lineRule="auto"/>
        <w:rPr>
          <w:rFonts w:ascii="Lato" w:eastAsia="Lato" w:hAnsi="Lato" w:cs="Lato"/>
        </w:rPr>
      </w:pPr>
      <w:r>
        <w:rPr>
          <w:rFonts w:ascii="Lato" w:eastAsia="Lato" w:hAnsi="Lato" w:cs="Lato"/>
          <w:i/>
        </w:rPr>
        <w:t xml:space="preserve">Attendance and Punctuality: </w:t>
      </w:r>
      <w:r>
        <w:rPr>
          <w:rFonts w:ascii="Lato" w:eastAsia="Lato" w:hAnsi="Lato" w:cs="Lato"/>
        </w:rPr>
        <w:t>You are expected to attend all class</w:t>
      </w:r>
      <w:r>
        <w:rPr>
          <w:rFonts w:ascii="Lato" w:eastAsia="Lato" w:hAnsi="Lato" w:cs="Lato"/>
        </w:rPr>
        <w:t xml:space="preserve"> sessions and arrive to class on time. Please email me if they will miss class and it is the responsibility of the student to make up all work if absent from class.  If more than three or more unexcused absences, </w:t>
      </w:r>
      <w:r>
        <w:rPr>
          <w:rFonts w:ascii="Lato" w:eastAsia="Lato" w:hAnsi="Lato" w:cs="Lato"/>
        </w:rPr>
        <w:lastRenderedPageBreak/>
        <w:t>your final grade will be negatively reflect</w:t>
      </w:r>
      <w:r>
        <w:rPr>
          <w:rFonts w:ascii="Lato" w:eastAsia="Lato" w:hAnsi="Lato" w:cs="Lato"/>
        </w:rPr>
        <w:t xml:space="preserve">ed in your participation grade. For prolonged absences, the student must notify me, your academic advisor and/or The Dean’s Office. </w:t>
      </w:r>
    </w:p>
    <w:p w:rsidR="00133984" w:rsidRDefault="00370B6A">
      <w:pPr>
        <w:numPr>
          <w:ilvl w:val="0"/>
          <w:numId w:val="3"/>
        </w:numPr>
        <w:spacing w:line="240" w:lineRule="auto"/>
        <w:rPr>
          <w:rFonts w:ascii="Lato" w:eastAsia="Lato" w:hAnsi="Lato" w:cs="Lato"/>
        </w:rPr>
      </w:pPr>
      <w:r>
        <w:rPr>
          <w:rFonts w:ascii="Lato" w:eastAsia="Lato" w:hAnsi="Lato" w:cs="Lato"/>
          <w:i/>
        </w:rPr>
        <w:t>Changes to readings/assignments:</w:t>
      </w:r>
      <w:r>
        <w:rPr>
          <w:rFonts w:ascii="Lato" w:eastAsia="Lato" w:hAnsi="Lato" w:cs="Lato"/>
        </w:rPr>
        <w:t xml:space="preserve"> This syllabus is subject to change. Pre-assigned readings may be adjusted and occasionally</w:t>
      </w:r>
      <w:r>
        <w:rPr>
          <w:rFonts w:ascii="Lato" w:eastAsia="Lato" w:hAnsi="Lato" w:cs="Lato"/>
        </w:rPr>
        <w:t xml:space="preserve"> supplemental reading or small exercises may be added throughout the course to enhance learning. If this is the case, I will update the assignments or </w:t>
      </w:r>
      <w:proofErr w:type="gramStart"/>
      <w:r>
        <w:rPr>
          <w:rFonts w:ascii="Lato" w:eastAsia="Lato" w:hAnsi="Lato" w:cs="Lato"/>
        </w:rPr>
        <w:t>make adjustments</w:t>
      </w:r>
      <w:proofErr w:type="gramEnd"/>
      <w:r>
        <w:rPr>
          <w:rFonts w:ascii="Lato" w:eastAsia="Lato" w:hAnsi="Lato" w:cs="Lato"/>
        </w:rPr>
        <w:t xml:space="preserve"> on Brightspace at least one week before the due date. My goal is to notify you with plen</w:t>
      </w:r>
      <w:r>
        <w:rPr>
          <w:rFonts w:ascii="Lato" w:eastAsia="Lato" w:hAnsi="Lato" w:cs="Lato"/>
        </w:rPr>
        <w:t xml:space="preserve">ty of time for anything that might affect your schedule and workload.  </w:t>
      </w:r>
    </w:p>
    <w:p w:rsidR="00133984" w:rsidRDefault="00370B6A">
      <w:pPr>
        <w:numPr>
          <w:ilvl w:val="0"/>
          <w:numId w:val="3"/>
        </w:numPr>
        <w:spacing w:line="240" w:lineRule="auto"/>
        <w:rPr>
          <w:rFonts w:ascii="Lato" w:eastAsia="Lato" w:hAnsi="Lato" w:cs="Lato"/>
        </w:rPr>
      </w:pPr>
      <w:r>
        <w:rPr>
          <w:rFonts w:ascii="Lato" w:eastAsia="Lato" w:hAnsi="Lato" w:cs="Lato"/>
          <w:i/>
        </w:rPr>
        <w:t xml:space="preserve">Late assignments: </w:t>
      </w:r>
      <w:r>
        <w:rPr>
          <w:rFonts w:ascii="Lato" w:eastAsia="Lato" w:hAnsi="Lato" w:cs="Lato"/>
        </w:rPr>
        <w:t>Please request permission from me at least 48 hours in advance of the due date if you expect your assignment to be late. Late assignments without prior notification will result in a Zero grade or F.  If more than three or more assignments are late in the c</w:t>
      </w:r>
      <w:r>
        <w:rPr>
          <w:rFonts w:ascii="Lato" w:eastAsia="Lato" w:hAnsi="Lato" w:cs="Lato"/>
        </w:rPr>
        <w:t>ourse without prior notification, your final grade will be negatively affected. Approved extenuating circumstances do not apply in this case.</w:t>
      </w:r>
    </w:p>
    <w:p w:rsidR="00133984" w:rsidRDefault="00370B6A">
      <w:pPr>
        <w:numPr>
          <w:ilvl w:val="0"/>
          <w:numId w:val="5"/>
        </w:numPr>
        <w:spacing w:line="240" w:lineRule="auto"/>
        <w:rPr>
          <w:rFonts w:ascii="Lato" w:eastAsia="Lato" w:hAnsi="Lato" w:cs="Lato"/>
        </w:rPr>
      </w:pPr>
      <w:r>
        <w:rPr>
          <w:rFonts w:ascii="Lato" w:eastAsia="Lato" w:hAnsi="Lato" w:cs="Lato"/>
          <w:i/>
        </w:rPr>
        <w:t>Revise &amp; Resubmit:</w:t>
      </w:r>
      <w:r>
        <w:rPr>
          <w:rFonts w:ascii="Lato" w:eastAsia="Lato" w:hAnsi="Lato" w:cs="Lato"/>
        </w:rPr>
        <w:t xml:space="preserve"> Towards the goal of continuous improvement, I welcome revised and re-submitted (R&amp;R) assignment</w:t>
      </w:r>
      <w:r>
        <w:rPr>
          <w:rFonts w:ascii="Lato" w:eastAsia="Lato" w:hAnsi="Lato" w:cs="Lato"/>
        </w:rPr>
        <w:t xml:space="preserve">s for re-grading. This must be arranged with me to finalize a revised deadline. Late assignments are </w:t>
      </w:r>
      <w:r>
        <w:rPr>
          <w:rFonts w:ascii="Lato" w:eastAsia="Lato" w:hAnsi="Lato" w:cs="Lato"/>
          <w:u w:val="single"/>
        </w:rPr>
        <w:t>not eligible</w:t>
      </w:r>
      <w:r>
        <w:rPr>
          <w:rFonts w:ascii="Lato" w:eastAsia="Lato" w:hAnsi="Lato" w:cs="Lato"/>
        </w:rPr>
        <w:t xml:space="preserve"> for “revise and resubmit” consideration. You can exercise this policy </w:t>
      </w:r>
      <w:r>
        <w:rPr>
          <w:rFonts w:ascii="Lato" w:eastAsia="Lato" w:hAnsi="Lato" w:cs="Lato"/>
          <w:u w:val="single"/>
        </w:rPr>
        <w:t>only once per semester</w:t>
      </w:r>
      <w:r>
        <w:rPr>
          <w:rFonts w:ascii="Lato" w:eastAsia="Lato" w:hAnsi="Lato" w:cs="Lato"/>
        </w:rPr>
        <w:t xml:space="preserve">. Choose your R&amp;R assignment carefully! </w:t>
      </w:r>
    </w:p>
    <w:p w:rsidR="00133984" w:rsidRDefault="00370B6A">
      <w:pPr>
        <w:numPr>
          <w:ilvl w:val="0"/>
          <w:numId w:val="2"/>
        </w:numPr>
        <w:spacing w:line="240" w:lineRule="auto"/>
        <w:rPr>
          <w:rFonts w:ascii="Lato" w:eastAsia="Lato" w:hAnsi="Lato" w:cs="Lato"/>
        </w:rPr>
      </w:pPr>
      <w:r>
        <w:rPr>
          <w:rFonts w:ascii="Lato" w:eastAsia="Lato" w:hAnsi="Lato" w:cs="Lato"/>
          <w:i/>
        </w:rPr>
        <w:t xml:space="preserve">Eating &amp; </w:t>
      </w:r>
      <w:r>
        <w:rPr>
          <w:rFonts w:ascii="Lato" w:eastAsia="Lato" w:hAnsi="Lato" w:cs="Lato"/>
          <w:i/>
        </w:rPr>
        <w:t xml:space="preserve">Drinking: </w:t>
      </w:r>
      <w:r>
        <w:rPr>
          <w:rFonts w:ascii="Lato" w:eastAsia="Lato" w:hAnsi="Lato" w:cs="Lato"/>
        </w:rPr>
        <w:t>Eating and drinking are permitted as long as your meal does not interfere with teaching and learning (i.e., loud eating sounds and packaging, etc.)</w:t>
      </w:r>
    </w:p>
    <w:p w:rsidR="00E72F35" w:rsidRDefault="00370B6A" w:rsidP="00E72F35">
      <w:pPr>
        <w:numPr>
          <w:ilvl w:val="0"/>
          <w:numId w:val="2"/>
        </w:numPr>
        <w:spacing w:line="240" w:lineRule="auto"/>
        <w:rPr>
          <w:rFonts w:ascii="Lato" w:eastAsia="Lato" w:hAnsi="Lato" w:cs="Lato"/>
          <w:b/>
        </w:rPr>
      </w:pPr>
      <w:r>
        <w:rPr>
          <w:rFonts w:ascii="Lato" w:eastAsia="Lato" w:hAnsi="Lato" w:cs="Lato"/>
          <w:i/>
        </w:rPr>
        <w:t xml:space="preserve">Tech in Class: </w:t>
      </w:r>
      <w:r>
        <w:rPr>
          <w:rFonts w:ascii="Lato" w:eastAsia="Lato" w:hAnsi="Lato" w:cs="Lato"/>
        </w:rPr>
        <w:t>Cell phones, smartphones/smart devices, tablets, and laptops should not be used dur</w:t>
      </w:r>
      <w:r>
        <w:rPr>
          <w:rFonts w:ascii="Lato" w:eastAsia="Lato" w:hAnsi="Lato" w:cs="Lato"/>
        </w:rPr>
        <w:t>ing class unless otherwise specified.</w:t>
      </w:r>
      <w:r w:rsidR="00E72F35">
        <w:rPr>
          <w:rFonts w:ascii="Lato" w:eastAsia="Lato" w:hAnsi="Lato" w:cs="Lato"/>
          <w:b/>
        </w:rPr>
        <w:t xml:space="preserve"> </w:t>
      </w:r>
    </w:p>
    <w:p w:rsidR="00133984" w:rsidRDefault="00370B6A" w:rsidP="00E72F35">
      <w:pPr>
        <w:pStyle w:val="Heading1"/>
      </w:pPr>
      <w:r>
        <w:t>NYU’s Calendar Policy on Religious Holidays</w:t>
      </w:r>
    </w:p>
    <w:p w:rsidR="00133984" w:rsidRDefault="00370B6A">
      <w:pPr>
        <w:spacing w:line="240" w:lineRule="auto"/>
        <w:rPr>
          <w:rFonts w:ascii="Lato" w:eastAsia="Lato" w:hAnsi="Lato" w:cs="Lato"/>
        </w:rPr>
      </w:pPr>
      <w:hyperlink r:id="rId39">
        <w:r>
          <w:rPr>
            <w:rFonts w:ascii="Lato" w:eastAsia="Lato" w:hAnsi="Lato" w:cs="Lato"/>
            <w:color w:val="1155CC"/>
            <w:u w:val="single"/>
          </w:rPr>
          <w:t>NYU’s Calendar Po</w:t>
        </w:r>
        <w:r>
          <w:rPr>
            <w:rFonts w:ascii="Lato" w:eastAsia="Lato" w:hAnsi="Lato" w:cs="Lato"/>
            <w:color w:val="1155CC"/>
            <w:u w:val="single"/>
          </w:rPr>
          <w:t>licy on Religious Holidays</w:t>
        </w:r>
      </w:hyperlink>
      <w:r>
        <w:rPr>
          <w:rFonts w:ascii="Lato" w:eastAsia="Lato" w:hAnsi="Lato" w:cs="Lato"/>
        </w:rPr>
        <w:t xml:space="preserve"> states that members of any religious group may, without penalty, absent themselves from classes when required in compliance with their religious obligations. Please email me at least one week prior to the next class if you should</w:t>
      </w:r>
      <w:r>
        <w:rPr>
          <w:rFonts w:ascii="Lato" w:eastAsia="Lato" w:hAnsi="Lato" w:cs="Lato"/>
        </w:rPr>
        <w:t xml:space="preserve"> be absent for a religious holiday. </w:t>
      </w:r>
    </w:p>
    <w:p w:rsidR="00133984" w:rsidRDefault="00370B6A" w:rsidP="00E72F35">
      <w:pPr>
        <w:pStyle w:val="Heading1"/>
      </w:pPr>
      <w:r>
        <w:t>Wagner Writing Center</w:t>
      </w:r>
    </w:p>
    <w:p w:rsidR="00133984" w:rsidRDefault="00370B6A">
      <w:pPr>
        <w:spacing w:line="240" w:lineRule="auto"/>
        <w:rPr>
          <w:rFonts w:ascii="Lato" w:eastAsia="Lato" w:hAnsi="Lato" w:cs="Lato"/>
        </w:rPr>
      </w:pPr>
      <w:r>
        <w:rPr>
          <w:rFonts w:ascii="Lato" w:eastAsia="Lato" w:hAnsi="Lato" w:cs="Lato"/>
        </w:rPr>
        <w:t xml:space="preserve">The Wagner Writing Center offers writing support through tutors, workshops, and a writing series. Visit them at: </w:t>
      </w:r>
      <w:hyperlink r:id="rId40">
        <w:r>
          <w:rPr>
            <w:rFonts w:ascii="Lato" w:eastAsia="Lato" w:hAnsi="Lato" w:cs="Lato"/>
            <w:color w:val="1155CC"/>
            <w:u w:val="single"/>
          </w:rPr>
          <w:t>https://wagner.nyu.edu/portal/students/academics/advisement/writing-center#</w:t>
        </w:r>
      </w:hyperlink>
    </w:p>
    <w:p w:rsidR="00133984" w:rsidRDefault="00370B6A" w:rsidP="00E72F35">
      <w:pPr>
        <w:pStyle w:val="Heading1"/>
      </w:pPr>
      <w:r>
        <w:t xml:space="preserve">NYU Writing Center </w:t>
      </w:r>
    </w:p>
    <w:p w:rsidR="00133984" w:rsidRDefault="00370B6A">
      <w:pPr>
        <w:spacing w:line="240" w:lineRule="auto"/>
        <w:rPr>
          <w:rFonts w:ascii="Lato" w:eastAsia="Lato" w:hAnsi="Lato" w:cs="Lato"/>
        </w:rPr>
      </w:pPr>
      <w:r>
        <w:rPr>
          <w:rFonts w:ascii="Lato" w:eastAsia="Lato" w:hAnsi="Lato" w:cs="Lato"/>
        </w:rPr>
        <w:t>NYU’s general writing support center is a place where one-on-one teaching and learning occurs, and where the work always focuses on writing. Experienced consultants assist NYU students, faculty, and staff with their work at any stage in the writing process</w:t>
      </w:r>
      <w:r>
        <w:rPr>
          <w:rFonts w:ascii="Lato" w:eastAsia="Lato" w:hAnsi="Lato" w:cs="Lato"/>
        </w:rPr>
        <w:t>. They work with individuals on essays, lab reports, personal statements, poems, stories, and other written texts. Writers may schedule one appointment per week, up to two weeks ahead of time, using their online scheduling system. Appointments normally are</w:t>
      </w:r>
      <w:r>
        <w:rPr>
          <w:rFonts w:ascii="Lato" w:eastAsia="Lato" w:hAnsi="Lato" w:cs="Lato"/>
        </w:rPr>
        <w:t xml:space="preserve"> 45 minutes in length. The Writing Center is located at 411 Lafayette, 3rd floor. For more information or to schedule an appointment, please go to NYU Writing Center's website: </w:t>
      </w:r>
      <w:hyperlink r:id="rId41">
        <w:r>
          <w:rPr>
            <w:rFonts w:ascii="Lato" w:eastAsia="Lato" w:hAnsi="Lato" w:cs="Lato"/>
            <w:color w:val="1155CC"/>
            <w:u w:val="single"/>
          </w:rPr>
          <w:t>https://www.nyu.edu/students/academic-services/writing-center.html</w:t>
        </w:r>
      </w:hyperlink>
      <w:r>
        <w:rPr>
          <w:rFonts w:ascii="Lato" w:eastAsia="Lato" w:hAnsi="Lato" w:cs="Lato"/>
        </w:rPr>
        <w:t xml:space="preserve"> </w:t>
      </w:r>
    </w:p>
    <w:p w:rsidR="00133984" w:rsidRDefault="00370B6A" w:rsidP="00E72F35">
      <w:pPr>
        <w:pStyle w:val="Heading1"/>
      </w:pPr>
      <w:r>
        <w:lastRenderedPageBreak/>
        <w:t>Library Resources</w:t>
      </w:r>
    </w:p>
    <w:p w:rsidR="00133984" w:rsidRDefault="00370B6A">
      <w:pPr>
        <w:spacing w:line="240" w:lineRule="auto"/>
        <w:rPr>
          <w:rFonts w:ascii="Lato" w:eastAsia="Lato" w:hAnsi="Lato" w:cs="Lato"/>
        </w:rPr>
      </w:pPr>
      <w:r>
        <w:rPr>
          <w:rFonts w:ascii="Lato" w:eastAsia="Lato" w:hAnsi="Lato" w:cs="Lato"/>
        </w:rPr>
        <w:t xml:space="preserve">There are comprehensive resources to complete assignments on the NYU Libraries website. Visit the public and nonprofit management research guide page: </w:t>
      </w:r>
      <w:hyperlink r:id="rId42">
        <w:r>
          <w:rPr>
            <w:rFonts w:ascii="Lato" w:eastAsia="Lato" w:hAnsi="Lato" w:cs="Lato"/>
            <w:color w:val="1155CC"/>
            <w:u w:val="single"/>
          </w:rPr>
          <w:t>https://guides.nyu.edu/subject_nonprofit</w:t>
        </w:r>
      </w:hyperlink>
      <w:r>
        <w:rPr>
          <w:rFonts w:ascii="Lato" w:eastAsia="Lato" w:hAnsi="Lato" w:cs="Lato"/>
        </w:rPr>
        <w:t xml:space="preserve">. If you are unclear about how to properly attribute research or ideas you are using in your work, please consult the </w:t>
      </w:r>
      <w:r>
        <w:rPr>
          <w:rFonts w:ascii="Lato" w:eastAsia="Lato" w:hAnsi="Lato" w:cs="Lato"/>
          <w:color w:val="1F1F1F"/>
        </w:rPr>
        <w:t xml:space="preserve">visit the </w:t>
      </w:r>
      <w:hyperlink r:id="rId43">
        <w:r>
          <w:rPr>
            <w:rFonts w:ascii="Lato" w:eastAsia="Lato" w:hAnsi="Lato" w:cs="Lato"/>
            <w:color w:val="1155CC"/>
            <w:u w:val="single"/>
          </w:rPr>
          <w:t>NYU Libraries Citation Style Guide</w:t>
        </w:r>
      </w:hyperlink>
      <w:r>
        <w:rPr>
          <w:rFonts w:ascii="Lato" w:eastAsia="Lato" w:hAnsi="Lato" w:cs="Lato"/>
          <w:color w:val="0064C7"/>
        </w:rPr>
        <w:t xml:space="preserve"> </w:t>
      </w:r>
      <w:r>
        <w:rPr>
          <w:rFonts w:ascii="Lato" w:eastAsia="Lato" w:hAnsi="Lato" w:cs="Lato"/>
        </w:rPr>
        <w:t xml:space="preserve">or </w:t>
      </w:r>
      <w:hyperlink r:id="rId44">
        <w:r>
          <w:rPr>
            <w:rFonts w:ascii="Lato" w:eastAsia="Lato" w:hAnsi="Lato" w:cs="Lato"/>
            <w:color w:val="1155CC"/>
            <w:u w:val="single"/>
          </w:rPr>
          <w:t>Ask a librarian</w:t>
        </w:r>
      </w:hyperlink>
      <w:r>
        <w:rPr>
          <w:rFonts w:ascii="Lato" w:eastAsia="Lato" w:hAnsi="Lato" w:cs="Lato"/>
        </w:rPr>
        <w:t xml:space="preserve">. For this class, use the </w:t>
      </w:r>
      <w:hyperlink r:id="rId45">
        <w:r>
          <w:rPr>
            <w:rFonts w:ascii="Lato" w:eastAsia="Lato" w:hAnsi="Lato" w:cs="Lato"/>
            <w:color w:val="1155CC"/>
            <w:u w:val="single"/>
          </w:rPr>
          <w:t>APA style</w:t>
        </w:r>
      </w:hyperlink>
      <w:r>
        <w:rPr>
          <w:rFonts w:ascii="Lato" w:eastAsia="Lato" w:hAnsi="Lato" w:cs="Lato"/>
        </w:rPr>
        <w:t xml:space="preserve"> of citation. </w:t>
      </w:r>
    </w:p>
    <w:p w:rsidR="00133984" w:rsidRDefault="00370B6A" w:rsidP="00E72F35">
      <w:pPr>
        <w:pStyle w:val="Heading1"/>
      </w:pPr>
      <w:r>
        <w:t xml:space="preserve">Henry and Lucy Moses Center for </w:t>
      </w:r>
      <w:r>
        <w:t>Students with Disabilities at NYU</w:t>
      </w:r>
    </w:p>
    <w:p w:rsidR="00133984" w:rsidRDefault="00370B6A">
      <w:pPr>
        <w:spacing w:line="240" w:lineRule="auto"/>
        <w:rPr>
          <w:rFonts w:ascii="Lato" w:eastAsia="Lato" w:hAnsi="Lato" w:cs="Lato"/>
        </w:rPr>
      </w:pPr>
      <w:r>
        <w:rPr>
          <w:rFonts w:ascii="Lato" w:eastAsia="Lato" w:hAnsi="Lato" w:cs="Lato"/>
        </w:rPr>
        <w:t>I want everyone to do their best work in this course and reach their goals. If you need formal accommodations, please visit the</w:t>
      </w:r>
      <w:hyperlink r:id="rId46">
        <w:r>
          <w:rPr>
            <w:rFonts w:ascii="Lato" w:eastAsia="Lato" w:hAnsi="Lato" w:cs="Lato"/>
            <w:color w:val="1155CC"/>
            <w:u w:val="single"/>
          </w:rPr>
          <w:t xml:space="preserve"> Moses Center for Students with Disabilities (CSD) website</w:t>
        </w:r>
      </w:hyperlink>
      <w:r>
        <w:rPr>
          <w:rFonts w:ascii="Lato" w:eastAsia="Lato" w:hAnsi="Lato" w:cs="Lato"/>
        </w:rPr>
        <w:t xml:space="preserve">, call 212- 998-4980, or email </w:t>
      </w:r>
      <w:hyperlink r:id="rId47">
        <w:r>
          <w:rPr>
            <w:rFonts w:ascii="Lato" w:eastAsia="Lato" w:hAnsi="Lato" w:cs="Lato"/>
            <w:color w:val="1155CC"/>
            <w:u w:val="single"/>
          </w:rPr>
          <w:t>mosescsd@nyu.edu</w:t>
        </w:r>
      </w:hyperlink>
      <w:r>
        <w:rPr>
          <w:rFonts w:ascii="Lato" w:eastAsia="Lato" w:hAnsi="Lato" w:cs="Lato"/>
        </w:rPr>
        <w:t xml:space="preserve">  for information. If you do not need formal accommodations but have learning needs I should know ab</w:t>
      </w:r>
      <w:r>
        <w:rPr>
          <w:rFonts w:ascii="Lato" w:eastAsia="Lato" w:hAnsi="Lato" w:cs="Lato"/>
        </w:rPr>
        <w:t>out, please let me know.</w:t>
      </w:r>
    </w:p>
    <w:p w:rsidR="00133984" w:rsidRDefault="00370B6A" w:rsidP="00E72F35">
      <w:pPr>
        <w:pStyle w:val="Heading1"/>
      </w:pPr>
      <w:r>
        <w:t xml:space="preserve">Land Acknowledgement  </w:t>
      </w:r>
    </w:p>
    <w:p w:rsidR="00133984" w:rsidRDefault="00370B6A">
      <w:pPr>
        <w:spacing w:line="240" w:lineRule="auto"/>
        <w:rPr>
          <w:rFonts w:ascii="Lato" w:eastAsia="Lato" w:hAnsi="Lato" w:cs="Lato"/>
          <w:i/>
        </w:rPr>
      </w:pPr>
      <w:r>
        <w:rPr>
          <w:rFonts w:ascii="Lato" w:eastAsia="Lato" w:hAnsi="Lato" w:cs="Lato"/>
        </w:rPr>
        <w:t>In the spirit of truth and equity, it is with gratitude and humility that we acknowledge that we are gathered on the sacred homelands of the Lenape people, who are the original stewards of this land. We hono</w:t>
      </w:r>
      <w:r>
        <w:rPr>
          <w:rFonts w:ascii="Lato" w:eastAsia="Lato" w:hAnsi="Lato" w:cs="Lato"/>
        </w:rPr>
        <w:t>r and pay respect to their ancestor’s past and present, as well as to future generations and we recognize their continuing presence in their homelands. We understand that our acknowledgment requires those of us who are settlers to recognize our own place i</w:t>
      </w:r>
      <w:r>
        <w:rPr>
          <w:rFonts w:ascii="Lato" w:eastAsia="Lato" w:hAnsi="Lato" w:cs="Lato"/>
        </w:rPr>
        <w:t xml:space="preserve">n and responsibilities towards addressing inequity and that this ongoing and challenging work requires that we commit to real engagement with the Lenape people to build an inclusive and equitable space for all. </w:t>
      </w:r>
      <w:r>
        <w:rPr>
          <w:rFonts w:ascii="Lato" w:eastAsia="Lato" w:hAnsi="Lato" w:cs="Lato"/>
          <w:i/>
        </w:rPr>
        <w:t xml:space="preserve">(Adapted from Bard College) </w:t>
      </w:r>
    </w:p>
    <w:p w:rsidR="00133984" w:rsidRDefault="00370B6A" w:rsidP="00E72F35">
      <w:pPr>
        <w:pStyle w:val="Heading1"/>
      </w:pPr>
      <w:bookmarkStart w:id="0" w:name="_GoBack"/>
      <w:bookmarkEnd w:id="0"/>
      <w:r>
        <w:t>Justice, Equity, Diversity and Inclusion Statement</w:t>
      </w:r>
    </w:p>
    <w:p w:rsidR="00E72F35" w:rsidRDefault="00370B6A" w:rsidP="00E72F35">
      <w:pPr>
        <w:spacing w:line="240" w:lineRule="auto"/>
        <w:rPr>
          <w:rFonts w:ascii="Lato" w:eastAsia="Lato" w:hAnsi="Lato" w:cs="Lato"/>
          <w:i/>
        </w:rPr>
      </w:pPr>
      <w:r>
        <w:rPr>
          <w:rFonts w:ascii="Lato" w:eastAsia="Lato" w:hAnsi="Lato" w:cs="Lato"/>
        </w:rPr>
        <w:t>In this class, we seek to materialize our commitment to justice, equity, diversity and inclusion through dialogue and rigorous study. We strive to create a learning environment that upholds values that mea</w:t>
      </w:r>
      <w:r>
        <w:rPr>
          <w:rFonts w:ascii="Lato" w:eastAsia="Lato" w:hAnsi="Lato" w:cs="Lato"/>
        </w:rPr>
        <w:t>ningfully include the voices, works, and ideas of communities and cultures historically and systematically excluded from higher education. In this class, we will aim to work on the four levels of oppression (ideological, institutional, interpersonal and in</w:t>
      </w:r>
      <w:r>
        <w:rPr>
          <w:rFonts w:ascii="Lato" w:eastAsia="Lato" w:hAnsi="Lato" w:cs="Lato"/>
        </w:rPr>
        <w:t>dividual) to address the implicit and explicit ways racism, sexism, classism, ableism, homophobia, transphobia, religious and other forms of oppression impact the learning process. As your professor, I am committed to fostering and maintaining an inclusive</w:t>
      </w:r>
      <w:r>
        <w:rPr>
          <w:rFonts w:ascii="Lato" w:eastAsia="Lato" w:hAnsi="Lato" w:cs="Lato"/>
        </w:rPr>
        <w:t xml:space="preserve"> community in which all gender identities and expressions are valued and validated. To create a gender-inclusive environment for faculty, students, and visitors, I encourage all members of the class to indicate the pronouns they use for themselves, if desi</w:t>
      </w:r>
      <w:r>
        <w:rPr>
          <w:rFonts w:ascii="Lato" w:eastAsia="Lato" w:hAnsi="Lato" w:cs="Lato"/>
        </w:rPr>
        <w:t xml:space="preserve">red, in class and in electronic communications, and in other settings, and I will encourage and enforce the respect of pronoun usage. </w:t>
      </w:r>
      <w:r>
        <w:rPr>
          <w:rFonts w:ascii="Lato" w:eastAsia="Lato" w:hAnsi="Lato" w:cs="Lato"/>
          <w:i/>
        </w:rPr>
        <w:t>(Adapted from Bard College)</w:t>
      </w:r>
    </w:p>
    <w:p w:rsidR="00133984" w:rsidRDefault="00E72F35" w:rsidP="00E72F35">
      <w:pPr>
        <w:spacing w:line="240" w:lineRule="auto"/>
        <w:rPr>
          <w:rFonts w:ascii="Lato" w:eastAsia="Lato" w:hAnsi="Lato" w:cs="Lato"/>
          <w:i/>
          <w:color w:val="202124"/>
          <w:highlight w:val="white"/>
        </w:rPr>
      </w:pPr>
      <w:r>
        <w:rPr>
          <w:rFonts w:ascii="Lato" w:eastAsia="Lato" w:hAnsi="Lato" w:cs="Lato"/>
          <w:i/>
          <w:color w:val="202124"/>
          <w:highlight w:val="white"/>
        </w:rPr>
        <w:t xml:space="preserve"> </w:t>
      </w:r>
    </w:p>
    <w:p w:rsidR="00133984" w:rsidRDefault="00370B6A">
      <w:pPr>
        <w:pBdr>
          <w:top w:val="dotted" w:sz="8" w:space="2" w:color="000000"/>
          <w:left w:val="dotted" w:sz="8" w:space="2" w:color="000000"/>
          <w:bottom w:val="dotted" w:sz="8" w:space="2" w:color="000000"/>
          <w:right w:val="dotted" w:sz="8" w:space="2" w:color="000000"/>
        </w:pBdr>
        <w:spacing w:line="240" w:lineRule="auto"/>
        <w:jc w:val="center"/>
        <w:rPr>
          <w:rFonts w:ascii="Lato" w:eastAsia="Lato" w:hAnsi="Lato" w:cs="Lato"/>
          <w:i/>
          <w:color w:val="202124"/>
          <w:highlight w:val="white"/>
        </w:rPr>
      </w:pPr>
      <w:r>
        <w:rPr>
          <w:rFonts w:ascii="Lato" w:eastAsia="Lato" w:hAnsi="Lato" w:cs="Lato"/>
          <w:i/>
          <w:color w:val="202124"/>
          <w:highlight w:val="white"/>
        </w:rPr>
        <w:t xml:space="preserve">“When everyone in the classroom, teacher and students, recognizes that they are </w:t>
      </w:r>
    </w:p>
    <w:p w:rsidR="00133984" w:rsidRDefault="00370B6A">
      <w:pPr>
        <w:pBdr>
          <w:top w:val="dotted" w:sz="8" w:space="2" w:color="000000"/>
          <w:left w:val="dotted" w:sz="8" w:space="2" w:color="000000"/>
          <w:bottom w:val="dotted" w:sz="8" w:space="2" w:color="000000"/>
          <w:right w:val="dotted" w:sz="8" w:space="2" w:color="000000"/>
        </w:pBdr>
        <w:spacing w:line="240" w:lineRule="auto"/>
        <w:jc w:val="center"/>
        <w:rPr>
          <w:rFonts w:ascii="Lato" w:eastAsia="Lato" w:hAnsi="Lato" w:cs="Lato"/>
          <w:i/>
          <w:color w:val="202124"/>
          <w:highlight w:val="white"/>
        </w:rPr>
      </w:pPr>
      <w:r>
        <w:rPr>
          <w:rFonts w:ascii="Lato" w:eastAsia="Lato" w:hAnsi="Lato" w:cs="Lato"/>
          <w:i/>
          <w:color w:val="202124"/>
          <w:highlight w:val="white"/>
        </w:rPr>
        <w:t xml:space="preserve">responsible for creating a learning community together, learning is at its most meaningful and useful.” </w:t>
      </w:r>
    </w:p>
    <w:p w:rsidR="00133984" w:rsidRDefault="00370B6A">
      <w:pPr>
        <w:pBdr>
          <w:top w:val="dotted" w:sz="8" w:space="2" w:color="000000"/>
          <w:left w:val="dotted" w:sz="8" w:space="2" w:color="000000"/>
          <w:bottom w:val="dotted" w:sz="8" w:space="2" w:color="000000"/>
          <w:right w:val="dotted" w:sz="8" w:space="2" w:color="000000"/>
        </w:pBdr>
        <w:spacing w:line="240" w:lineRule="auto"/>
        <w:jc w:val="center"/>
        <w:rPr>
          <w:rFonts w:ascii="Lato" w:eastAsia="Lato" w:hAnsi="Lato" w:cs="Lato"/>
          <w:i/>
          <w:color w:val="202124"/>
          <w:highlight w:val="white"/>
        </w:rPr>
      </w:pPr>
      <w:r>
        <w:rPr>
          <w:rFonts w:ascii="Lato" w:eastAsia="Lato" w:hAnsi="Lato" w:cs="Lato"/>
          <w:i/>
          <w:color w:val="202124"/>
          <w:highlight w:val="white"/>
        </w:rPr>
        <w:t>– bell hooks, Ph.D. (1952-2021)</w:t>
      </w:r>
    </w:p>
    <w:p w:rsidR="00133984" w:rsidRDefault="00133984">
      <w:pPr>
        <w:rPr>
          <w:rFonts w:ascii="Lato" w:eastAsia="Lato" w:hAnsi="Lato" w:cs="Lato"/>
        </w:rPr>
      </w:pPr>
    </w:p>
    <w:sectPr w:rsidR="00133984">
      <w:headerReference w:type="default" r:id="rId48"/>
      <w:footerReference w:type="default" r:id="rI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B6A" w:rsidRDefault="00370B6A">
      <w:pPr>
        <w:spacing w:line="240" w:lineRule="auto"/>
      </w:pPr>
      <w:r>
        <w:separator/>
      </w:r>
    </w:p>
  </w:endnote>
  <w:endnote w:type="continuationSeparator" w:id="0">
    <w:p w:rsidR="00370B6A" w:rsidRDefault="00370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84" w:rsidRDefault="00370B6A">
    <w:pPr>
      <w:pBdr>
        <w:top w:val="single" w:sz="8" w:space="2" w:color="000000"/>
      </w:pBdr>
      <w:tabs>
        <w:tab w:val="center" w:pos="4320"/>
        <w:tab w:val="right" w:pos="9804"/>
      </w:tabs>
      <w:spacing w:line="240" w:lineRule="auto"/>
      <w:rPr>
        <w:rFonts w:ascii="Lato" w:eastAsia="Lato" w:hAnsi="Lato" w:cs="Lato"/>
        <w:sz w:val="20"/>
        <w:szCs w:val="20"/>
      </w:rPr>
    </w:pPr>
    <w:r>
      <w:rPr>
        <w:rFonts w:ascii="Lato" w:eastAsia="Lato" w:hAnsi="Lato" w:cs="Lato"/>
        <w:sz w:val="20"/>
        <w:szCs w:val="20"/>
      </w:rPr>
      <w:tab/>
      <w:t xml:space="preserve">Page </w:t>
    </w:r>
    <w:r>
      <w:rPr>
        <w:rFonts w:ascii="Lato" w:eastAsia="Lato" w:hAnsi="Lato" w:cs="Lato"/>
        <w:sz w:val="20"/>
        <w:szCs w:val="20"/>
      </w:rPr>
      <w:fldChar w:fldCharType="begin"/>
    </w:r>
    <w:r>
      <w:rPr>
        <w:rFonts w:ascii="Lato" w:eastAsia="Lato" w:hAnsi="Lato" w:cs="Lato"/>
        <w:sz w:val="20"/>
        <w:szCs w:val="20"/>
      </w:rPr>
      <w:instrText>PAGE</w:instrText>
    </w:r>
    <w:r w:rsidR="00E72F35">
      <w:rPr>
        <w:rFonts w:ascii="Lato" w:eastAsia="Lato" w:hAnsi="Lato" w:cs="Lato"/>
        <w:sz w:val="20"/>
        <w:szCs w:val="20"/>
      </w:rPr>
      <w:fldChar w:fldCharType="separate"/>
    </w:r>
    <w:r w:rsidR="00E72F35">
      <w:rPr>
        <w:rFonts w:ascii="Lato" w:eastAsia="Lato" w:hAnsi="Lato" w:cs="Lato"/>
        <w:noProof/>
        <w:sz w:val="20"/>
        <w:szCs w:val="20"/>
      </w:rPr>
      <w:t>1</w:t>
    </w:r>
    <w:r>
      <w:rPr>
        <w:rFonts w:ascii="Lato" w:eastAsia="Lato" w:hAnsi="Lato" w:cs="Lato"/>
        <w:sz w:val="20"/>
        <w:szCs w:val="20"/>
      </w:rPr>
      <w:fldChar w:fldCharType="end"/>
    </w:r>
    <w:r>
      <w:rPr>
        <w:rFonts w:ascii="Lato" w:eastAsia="Lato" w:hAnsi="Lato" w:cs="Lato"/>
        <w:sz w:val="20"/>
        <w:szCs w:val="20"/>
      </w:rPr>
      <w:t xml:space="preserve"> of </w:t>
    </w:r>
    <w:r>
      <w:rPr>
        <w:rFonts w:ascii="Lato" w:eastAsia="Lato" w:hAnsi="Lato" w:cs="Lato"/>
        <w:sz w:val="20"/>
        <w:szCs w:val="20"/>
      </w:rPr>
      <w:fldChar w:fldCharType="begin"/>
    </w:r>
    <w:r>
      <w:rPr>
        <w:rFonts w:ascii="Lato" w:eastAsia="Lato" w:hAnsi="Lato" w:cs="Lato"/>
        <w:sz w:val="20"/>
        <w:szCs w:val="20"/>
      </w:rPr>
      <w:instrText>NUMPAGES</w:instrText>
    </w:r>
    <w:r w:rsidR="00E72F35">
      <w:rPr>
        <w:rFonts w:ascii="Lato" w:eastAsia="Lato" w:hAnsi="Lato" w:cs="Lato"/>
        <w:sz w:val="20"/>
        <w:szCs w:val="20"/>
      </w:rPr>
      <w:fldChar w:fldCharType="separate"/>
    </w:r>
    <w:r w:rsidR="00E72F35">
      <w:rPr>
        <w:rFonts w:ascii="Lato" w:eastAsia="Lato" w:hAnsi="Lato" w:cs="Lato"/>
        <w:noProof/>
        <w:sz w:val="20"/>
        <w:szCs w:val="20"/>
      </w:rPr>
      <w:t>1</w:t>
    </w:r>
    <w:r>
      <w:rPr>
        <w:rFonts w:ascii="Lato" w:eastAsia="Lato" w:hAnsi="Lato" w:cs="Lato"/>
        <w:sz w:val="20"/>
        <w:szCs w:val="20"/>
      </w:rPr>
      <w:fldChar w:fldCharType="end"/>
    </w:r>
  </w:p>
  <w:p w:rsidR="00133984" w:rsidRDefault="001339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B6A" w:rsidRDefault="00370B6A">
      <w:pPr>
        <w:spacing w:line="240" w:lineRule="auto"/>
      </w:pPr>
      <w:r>
        <w:separator/>
      </w:r>
    </w:p>
  </w:footnote>
  <w:footnote w:type="continuationSeparator" w:id="0">
    <w:p w:rsidR="00370B6A" w:rsidRDefault="00370B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984" w:rsidRDefault="001339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2AA"/>
    <w:multiLevelType w:val="multilevel"/>
    <w:tmpl w:val="796EF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D876DB"/>
    <w:multiLevelType w:val="multilevel"/>
    <w:tmpl w:val="0C127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FF655B"/>
    <w:multiLevelType w:val="multilevel"/>
    <w:tmpl w:val="261EB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6C6C67"/>
    <w:multiLevelType w:val="multilevel"/>
    <w:tmpl w:val="18B6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283B31"/>
    <w:multiLevelType w:val="multilevel"/>
    <w:tmpl w:val="E73C8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84"/>
    <w:rsid w:val="00133984"/>
    <w:rsid w:val="00370B6A"/>
    <w:rsid w:val="00E7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C0688"/>
  <w15:docId w15:val="{DFAE0AC8-42F6-489D-8864-6ECA19D4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E72F35"/>
    <w:pPr>
      <w:keepNext/>
      <w:keepLines/>
      <w:spacing w:before="400" w:after="120"/>
      <w:outlineLvl w:val="0"/>
    </w:pPr>
    <w:rPr>
      <w:b/>
      <w:sz w:val="24"/>
      <w:szCs w:val="40"/>
    </w:rPr>
  </w:style>
  <w:style w:type="paragraph" w:styleId="Heading2">
    <w:name w:val="heading 2"/>
    <w:basedOn w:val="Normal"/>
    <w:next w:val="Normal"/>
    <w:uiPriority w:val="9"/>
    <w:unhideWhenUsed/>
    <w:qFormat/>
    <w:rsid w:val="00E72F35"/>
    <w:pPr>
      <w:keepNext/>
      <w:keepLines/>
      <w:spacing w:before="360" w:after="120"/>
      <w:outlineLvl w:val="1"/>
    </w:pPr>
    <w:rPr>
      <w:i/>
      <w:sz w:val="24"/>
      <w:szCs w:val="32"/>
    </w:rPr>
  </w:style>
  <w:style w:type="paragraph" w:styleId="Heading3">
    <w:name w:val="heading 3"/>
    <w:basedOn w:val="Normal"/>
    <w:next w:val="Normal"/>
    <w:uiPriority w:val="9"/>
    <w:unhideWhenUsed/>
    <w:qFormat/>
    <w:rsid w:val="00E72F35"/>
    <w:pPr>
      <w:keepNext/>
      <w:keepLines/>
      <w:spacing w:before="320" w:after="80"/>
      <w:outlineLvl w:val="2"/>
    </w:pPr>
    <w:rPr>
      <w:i/>
      <w:color w:val="434343"/>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rive.google.com/file/d/1KOyLcjfhGKszalvvN53IOBFnlj3qZL5S/view?usp=sharing" TargetMode="External"/><Relationship Id="rId18" Type="http://schemas.openxmlformats.org/officeDocument/2006/relationships/hyperlink" Target="https://drive.google.com/file/d/1RinN0R3cNne1uMKOMJysTElL7euiFBKj/view?usp=drive_link" TargetMode="External"/><Relationship Id="rId26" Type="http://schemas.openxmlformats.org/officeDocument/2006/relationships/hyperlink" Target="https://drive.google.com/file/d/1cv_wCwXNgtPFKFkbAf4Ol340jA-RsiPk/view?usp=share_link" TargetMode="External"/><Relationship Id="rId39" Type="http://schemas.openxmlformats.org/officeDocument/2006/relationships/hyperlink" Target="https://www.nyu.edu/about/policies-guidelines-compliance/policies-and-guidelines/university-calendar-policy-on-religious-holidays.html" TargetMode="External"/><Relationship Id="rId21" Type="http://schemas.openxmlformats.org/officeDocument/2006/relationships/hyperlink" Target="https://drive.google.com/file/d/1SRsV77ADi3Tf2VABU7bOToW6UrmpbSHJ/view?usp=share_link" TargetMode="External"/><Relationship Id="rId34" Type="http://schemas.openxmlformats.org/officeDocument/2006/relationships/hyperlink" Target="https://docs.google.com/document/d/1RiovHIPwcVh3RACplDwmJAV94n_Z2viQrLEZEdV7rsA/edit?usp=sharing" TargetMode="External"/><Relationship Id="rId42" Type="http://schemas.openxmlformats.org/officeDocument/2006/relationships/hyperlink" Target="https://guides.nyu.edu/subject_nonprofit" TargetMode="External"/><Relationship Id="rId47" Type="http://schemas.openxmlformats.org/officeDocument/2006/relationships/hyperlink" Target="mailto:mosescsd@nyu.edu" TargetMode="External"/><Relationship Id="rId50"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drive.google.com/file/d/1SrpOmHrV2AD5Ho2ZfY5vkMGDmmeQqwUC/view?usp=sharing" TargetMode="External"/><Relationship Id="rId29" Type="http://schemas.openxmlformats.org/officeDocument/2006/relationships/hyperlink" Target="https://drive.google.com/file/d/1JEe2OLLg2PzYh6si6fs2PDSQLCRBTUGJ/view?usp=sharing" TargetMode="External"/><Relationship Id="rId11" Type="http://schemas.openxmlformats.org/officeDocument/2006/relationships/hyperlink" Target="https://drive.google.com/file/d/189wysKDuFh5jsirQnP6vhHK1GofEnVHg/view?usp=share_link" TargetMode="External"/><Relationship Id="rId24" Type="http://schemas.openxmlformats.org/officeDocument/2006/relationships/hyperlink" Target="https://drive.google.com/file/d/1juUGYUHoFCN88cDmvd6Hf3JQ022ppNK0/view?usp=sharing" TargetMode="External"/><Relationship Id="rId32" Type="http://schemas.openxmlformats.org/officeDocument/2006/relationships/hyperlink" Target="https://ctb.ku.edu/en/table-of-contents/analyze/where-to-start" TargetMode="External"/><Relationship Id="rId37" Type="http://schemas.openxmlformats.org/officeDocument/2006/relationships/hyperlink" Target="https://www.nyu.edu/about/policies-guidelines-compliance/policies-and-guidelines/academic-integrity-for-students-at-nyu.html" TargetMode="External"/><Relationship Id="rId40" Type="http://schemas.openxmlformats.org/officeDocument/2006/relationships/hyperlink" Target="https://wagner.nyu.edu/portal/students/academics/advisement/writing-center" TargetMode="External"/><Relationship Id="rId45" Type="http://schemas.openxmlformats.org/officeDocument/2006/relationships/hyperlink" Target="https://apastyle.apa.org/" TargetMode="External"/><Relationship Id="rId5" Type="http://schemas.openxmlformats.org/officeDocument/2006/relationships/footnotes" Target="footnotes.xml"/><Relationship Id="rId15" Type="http://schemas.openxmlformats.org/officeDocument/2006/relationships/hyperlink" Target="https://drive.google.com/file/d/1q7a5R7ExBH_T1TSxQulUNJ792Dk6uy7d/view?usp=share_link" TargetMode="External"/><Relationship Id="rId23" Type="http://schemas.openxmlformats.org/officeDocument/2006/relationships/hyperlink" Target="https://drive.google.com/file/d/1XMUUktBrFv3QLnF7XSW7uYiM2gCbl2yq/view?usp=sharing" TargetMode="External"/><Relationship Id="rId28" Type="http://schemas.openxmlformats.org/officeDocument/2006/relationships/hyperlink" Target="https://drive.google.com/file/d/1uZM4YJD7CU4cu4LSOTHXPKhrgxwXu30S/view?usp=share_link" TargetMode="External"/><Relationship Id="rId36" Type="http://schemas.openxmlformats.org/officeDocument/2006/relationships/hyperlink" Target="https://wagner.nyu.edu/portal/students/policies/academic-oath" TargetMode="External"/><Relationship Id="rId49" Type="http://schemas.openxmlformats.org/officeDocument/2006/relationships/footer" Target="footer1.xml"/><Relationship Id="rId10" Type="http://schemas.openxmlformats.org/officeDocument/2006/relationships/hyperlink" Target="https://public.imaginingamerica.org/blog/article/inquietudes-on-being-uneasy/" TargetMode="External"/><Relationship Id="rId19" Type="http://schemas.openxmlformats.org/officeDocument/2006/relationships/hyperlink" Target="https://www.policylink.org/sites/default/files/CBPR.pdf" TargetMode="External"/><Relationship Id="rId31" Type="http://schemas.openxmlformats.org/officeDocument/2006/relationships/hyperlink" Target="https://drive.google.com/file/d/1immLXfHjrYQFeXZw0KvwIffr5XeVfmrP/view?usp=sharing" TargetMode="External"/><Relationship Id="rId44" Type="http://schemas.openxmlformats.org/officeDocument/2006/relationships/hyperlink" Target="https://library.nyu.edu/ask/" TargetMode="External"/><Relationship Id="rId4" Type="http://schemas.openxmlformats.org/officeDocument/2006/relationships/webSettings" Target="webSettings.xml"/><Relationship Id="rId9" Type="http://schemas.openxmlformats.org/officeDocument/2006/relationships/hyperlink" Target="https://drive.google.com/file/d/1k-HdxFEpfjqT8S1NQdLMhKc8VErAhh7q/view?usp=share_link" TargetMode="External"/><Relationship Id="rId14" Type="http://schemas.openxmlformats.org/officeDocument/2006/relationships/hyperlink" Target="https://drive.google.com/file/d/18an3LKzFtxnxps0LID81gA2kACxOJF-a/view?usp=share_link" TargetMode="External"/><Relationship Id="rId22" Type="http://schemas.openxmlformats.org/officeDocument/2006/relationships/hyperlink" Target="https://drive.google.com/file/d/1LnB0MWT9B5L2PcD6BkUMuMSEkRxKGRNA/view?usp=sharing" TargetMode="External"/><Relationship Id="rId27" Type="http://schemas.openxmlformats.org/officeDocument/2006/relationships/hyperlink" Target="https://drive.google.com/file/d/12lBmIo2UMIvLw53_pFkRohFwYC8sM0om/view?usp=share_link" TargetMode="External"/><Relationship Id="rId30" Type="http://schemas.openxmlformats.org/officeDocument/2006/relationships/hyperlink" Target="https://drive.google.com/file/d/1LnB0MWT9B5L2PcD6BkUMuMSEkRxKGRNA/view?usp=sharing" TargetMode="External"/><Relationship Id="rId35" Type="http://schemas.openxmlformats.org/officeDocument/2006/relationships/hyperlink" Target="https://wagner.nyu.edu/portal/students/policies/code" TargetMode="External"/><Relationship Id="rId43" Type="http://schemas.openxmlformats.org/officeDocument/2006/relationships/hyperlink" Target="http://guides.nyu.edu/c.php?g=276562&amp;p=1844731" TargetMode="External"/><Relationship Id="rId48" Type="http://schemas.openxmlformats.org/officeDocument/2006/relationships/header" Target="header1.xml"/><Relationship Id="rId8" Type="http://schemas.openxmlformats.org/officeDocument/2006/relationships/hyperlink" Target="mailto:jpramirez@nyu.edu"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rive.google.com/file/d/1ZmgBtod3LB2ruk9kfVnn5fjCLF2wFsa3/view?usp=share_link" TargetMode="External"/><Relationship Id="rId17" Type="http://schemas.openxmlformats.org/officeDocument/2006/relationships/hyperlink" Target="https://drive.google.com/file/d/1SrpOmHrV2AD5Ho2ZfY5vkMGDmmeQqwUC/view?usp=sharing" TargetMode="External"/><Relationship Id="rId25" Type="http://schemas.openxmlformats.org/officeDocument/2006/relationships/hyperlink" Target="https://drive.google.com/file/d/1rkpdUtvbTZhYPyi7VK5Wko6WLmt2TzdH/view?usp=share_link" TargetMode="External"/><Relationship Id="rId33" Type="http://schemas.openxmlformats.org/officeDocument/2006/relationships/hyperlink" Target="http://dx.doi.org/10.5888/pcd13.150473" TargetMode="External"/><Relationship Id="rId38" Type="http://schemas.openxmlformats.org/officeDocument/2006/relationships/hyperlink" Target="https://wagner.nyu.edu/portal/students/policies/code" TargetMode="External"/><Relationship Id="rId46" Type="http://schemas.openxmlformats.org/officeDocument/2006/relationships/hyperlink" Target="https://www.nyu.edu/students/communities-and-groups/students-with-disabilities.html" TargetMode="External"/><Relationship Id="rId20" Type="http://schemas.openxmlformats.org/officeDocument/2006/relationships/hyperlink" Target="https://drive.google.com/file/d/1nbKg7EQtjWlWRuYS2mb1sUQqq8w4ZH_4/view?usp=share_link" TargetMode="External"/><Relationship Id="rId41" Type="http://schemas.openxmlformats.org/officeDocument/2006/relationships/hyperlink" Target="https://www.nyu.edu/students/academic-services/writing-center.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3106</Words>
  <Characters>17458</Characters>
  <Application>Microsoft Office Word</Application>
  <DocSecurity>0</DocSecurity>
  <Lines>425</Lines>
  <Paragraphs>247</Paragraphs>
  <ScaleCrop>false</ScaleCrop>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2024-03-14T16:09:00Z</dcterms:created>
  <dcterms:modified xsi:type="dcterms:W3CDTF">2024-03-14T16:15:00Z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86cd507e2a881dc81b610f28d146ee7a8b4aa3811fa2950c069242db183c4489</vt:lpwstr>
  </property>
</Properties>
</file>