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0E724" w14:textId="4B7EC601" w:rsidR="00947C51" w:rsidRDefault="00947C51" w:rsidP="00947C51">
      <w:pPr>
        <w:rPr>
          <w:b/>
          <w:bCs/>
        </w:rPr>
      </w:pPr>
      <w:r>
        <w:rPr>
          <w:rFonts w:ascii="Times New Roman"/>
          <w:noProof/>
          <w:sz w:val="20"/>
        </w:rPr>
        <w:drawing>
          <wp:inline distT="0" distB="0" distL="0" distR="0" wp14:anchorId="597EE00A" wp14:editId="5FA79203">
            <wp:extent cx="5943600" cy="666170"/>
            <wp:effectExtent l="0" t="0" r="0" b="0"/>
            <wp:docPr id="1" name="Image 1" descr="Robert F. Wagner Graduate School of Public Service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3600" cy="666170"/>
                    </a:xfrm>
                    <a:prstGeom prst="rect">
                      <a:avLst/>
                    </a:prstGeom>
                  </pic:spPr>
                </pic:pic>
              </a:graphicData>
            </a:graphic>
          </wp:inline>
        </w:drawing>
      </w:r>
    </w:p>
    <w:p w14:paraId="226A7E07" w14:textId="77777777" w:rsidR="00947C51" w:rsidRDefault="00947C51" w:rsidP="00947C51">
      <w:pPr>
        <w:rPr>
          <w:b/>
          <w:bCs/>
        </w:rPr>
      </w:pPr>
    </w:p>
    <w:p w14:paraId="1AD09142" w14:textId="46400E1E" w:rsidR="00947C51" w:rsidRPr="00947C51" w:rsidRDefault="00947C51" w:rsidP="00947C51">
      <w:r w:rsidRPr="00947C51">
        <w:rPr>
          <w:b/>
          <w:bCs/>
        </w:rPr>
        <w:t>UPADM-GP 242</w:t>
      </w:r>
      <w:r w:rsidRPr="00947C51">
        <w:rPr>
          <w:b/>
          <w:bCs/>
        </w:rPr>
        <w:br/>
        <w:t>The Business of Nonprofit Management</w:t>
      </w:r>
    </w:p>
    <w:p w14:paraId="4E61638C" w14:textId="77777777" w:rsidR="00947C51" w:rsidRPr="00947C51" w:rsidRDefault="00947C51" w:rsidP="00947C51">
      <w:r w:rsidRPr="00947C51">
        <w:rPr>
          <w:b/>
          <w:bCs/>
        </w:rPr>
        <w:t>SUMMER 2024</w:t>
      </w:r>
    </w:p>
    <w:p w14:paraId="0934D225" w14:textId="77777777" w:rsidR="00947C51" w:rsidRPr="00947C51" w:rsidRDefault="00947C51" w:rsidP="00947C51">
      <w:pPr>
        <w:rPr>
          <w:b/>
          <w:bCs/>
        </w:rPr>
      </w:pPr>
      <w:bookmarkStart w:id="0" w:name="_kx8j0nerse72"/>
      <w:bookmarkEnd w:id="0"/>
      <w:r w:rsidRPr="00947C51">
        <w:rPr>
          <w:b/>
          <w:bCs/>
        </w:rPr>
        <w:t>Instructor Information</w:t>
      </w:r>
    </w:p>
    <w:p w14:paraId="4A6E9894" w14:textId="77777777" w:rsidR="00947C51" w:rsidRPr="00947C51" w:rsidRDefault="00947C51" w:rsidP="00947C51">
      <w:pPr>
        <w:numPr>
          <w:ilvl w:val="0"/>
          <w:numId w:val="1"/>
        </w:numPr>
      </w:pPr>
      <w:proofErr w:type="spellStart"/>
      <w:r w:rsidRPr="00947C51">
        <w:t>Aniqa</w:t>
      </w:r>
      <w:proofErr w:type="spellEnd"/>
      <w:r w:rsidRPr="00947C51">
        <w:t xml:space="preserve"> Islam-</w:t>
      </w:r>
      <w:proofErr w:type="spellStart"/>
      <w:r w:rsidRPr="00947C51">
        <w:t>Nawabi</w:t>
      </w:r>
      <w:proofErr w:type="spellEnd"/>
    </w:p>
    <w:p w14:paraId="0FE03604" w14:textId="77777777" w:rsidR="00947C51" w:rsidRPr="00947C51" w:rsidRDefault="00947C51" w:rsidP="00947C51">
      <w:pPr>
        <w:numPr>
          <w:ilvl w:val="0"/>
          <w:numId w:val="1"/>
        </w:numPr>
      </w:pPr>
      <w:r w:rsidRPr="00947C51">
        <w:t>Email: ai26@nyu.edu</w:t>
      </w:r>
    </w:p>
    <w:p w14:paraId="2784FF89" w14:textId="77777777" w:rsidR="00947C51" w:rsidRPr="00947C51" w:rsidRDefault="00947C51" w:rsidP="00947C51">
      <w:pPr>
        <w:numPr>
          <w:ilvl w:val="0"/>
          <w:numId w:val="1"/>
        </w:numPr>
      </w:pPr>
      <w:r w:rsidRPr="00947C51">
        <w:t>Office Hours: Fridays 12:00-1:00 PM, or drop me a line and we’ll schedule another time</w:t>
      </w:r>
    </w:p>
    <w:p w14:paraId="344BFA92" w14:textId="77777777" w:rsidR="00947C51" w:rsidRPr="00947C51" w:rsidRDefault="00947C51" w:rsidP="00947C51">
      <w:pPr>
        <w:rPr>
          <w:b/>
          <w:bCs/>
        </w:rPr>
      </w:pPr>
      <w:bookmarkStart w:id="1" w:name="_appoem67ki5z"/>
      <w:bookmarkEnd w:id="1"/>
      <w:r w:rsidRPr="00947C51">
        <w:rPr>
          <w:b/>
          <w:bCs/>
        </w:rPr>
        <w:t>Course Information</w:t>
      </w:r>
    </w:p>
    <w:p w14:paraId="61D877AC" w14:textId="77777777" w:rsidR="00947C51" w:rsidRPr="00947C51" w:rsidRDefault="00947C51" w:rsidP="00947C51">
      <w:pPr>
        <w:numPr>
          <w:ilvl w:val="0"/>
          <w:numId w:val="2"/>
        </w:numPr>
      </w:pPr>
      <w:r w:rsidRPr="00947C51">
        <w:t>Class Meeting Times: 7/08/22– 08/12/22, Mondays &amp; Wednesdays 5:30- 8:30 pm</w:t>
      </w:r>
    </w:p>
    <w:p w14:paraId="4873EA02" w14:textId="77777777" w:rsidR="00947C51" w:rsidRPr="00947C51" w:rsidRDefault="00947C51" w:rsidP="00947C51">
      <w:pPr>
        <w:numPr>
          <w:ilvl w:val="0"/>
          <w:numId w:val="2"/>
        </w:numPr>
      </w:pPr>
      <w:r w:rsidRPr="00947C51">
        <w:t>Class Location: Via ZOOM</w:t>
      </w:r>
    </w:p>
    <w:p w14:paraId="21E5377A" w14:textId="77777777" w:rsidR="00947C51" w:rsidRPr="00947C51" w:rsidRDefault="00947C51" w:rsidP="00947C51">
      <w:pPr>
        <w:rPr>
          <w:b/>
          <w:bCs/>
        </w:rPr>
      </w:pPr>
      <w:r w:rsidRPr="00947C51">
        <w:rPr>
          <w:b/>
          <w:bCs/>
        </w:rPr>
        <w:t>Course Description</w:t>
      </w:r>
    </w:p>
    <w:p w14:paraId="718E1A9C" w14:textId="77777777" w:rsidR="00947C51" w:rsidRPr="00947C51" w:rsidRDefault="00947C51" w:rsidP="00947C51">
      <w:r w:rsidRPr="00947C51">
        <w:t>This course introduces students to the nonprofit sector; how they operate and the impact it seeks to make. Nonprofit institutions are mission driven organizations working to resolve an issue in society or serve a public service gap. Nonprofits are also a big indicator in the strength of civil-society activity and participation in the governance of communities and nations. This course will put into context where nonprofit institutions fit within the spectrum of sectors that govern our lives. It will discuss the different types of nonprofit institutions that work in the local, state, and international spheres. Students will also learn the nuts of bolts of the business of nonprofit management; from designing program budgets to evaluation, and the never-ending fundraising!</w:t>
      </w:r>
    </w:p>
    <w:p w14:paraId="739FC3F6" w14:textId="77777777" w:rsidR="00947C51" w:rsidRPr="00947C51" w:rsidRDefault="00947C51" w:rsidP="00947C51">
      <w:r w:rsidRPr="00947C51">
        <w:t> </w:t>
      </w:r>
    </w:p>
    <w:p w14:paraId="532DA6C8" w14:textId="77777777" w:rsidR="00947C51" w:rsidRPr="00947C51" w:rsidRDefault="00947C51" w:rsidP="00947C51">
      <w:r w:rsidRPr="00947C51">
        <w:t>The course is designed in a way where students are going to learn practical skills and be in the shoes of nonprofit professionals. Students will have the opportunity to design their own nonprofit institution and understand the basic concepts of Mission, Goals, Impact, and Outcomes. While learning how nonprofits meet their goals, they will also learn practical skills in how nonprofits operate, from governance, to financial management, fundraising, and operations.</w:t>
      </w:r>
    </w:p>
    <w:p w14:paraId="19642E96" w14:textId="77777777" w:rsidR="00947C51" w:rsidRPr="00947C51" w:rsidRDefault="00947C51" w:rsidP="00947C51">
      <w:r w:rsidRPr="00947C51">
        <w:t> </w:t>
      </w:r>
    </w:p>
    <w:p w14:paraId="335BE17F" w14:textId="77777777" w:rsidR="00947C51" w:rsidRPr="00947C51" w:rsidRDefault="00947C51" w:rsidP="00947C51">
      <w:r w:rsidRPr="00947C51">
        <w:t>The skills that you will learn in this course are:</w:t>
      </w:r>
    </w:p>
    <w:p w14:paraId="66E69708" w14:textId="77777777" w:rsidR="00947C51" w:rsidRPr="00947C51" w:rsidRDefault="00947C51" w:rsidP="00947C51">
      <w:pPr>
        <w:numPr>
          <w:ilvl w:val="0"/>
          <w:numId w:val="3"/>
        </w:numPr>
      </w:pPr>
      <w:r w:rsidRPr="00947C51">
        <w:t>Organizational Design</w:t>
      </w:r>
    </w:p>
    <w:p w14:paraId="373CFC34" w14:textId="77777777" w:rsidR="00947C51" w:rsidRPr="00947C51" w:rsidRDefault="00947C51" w:rsidP="00947C51">
      <w:pPr>
        <w:numPr>
          <w:ilvl w:val="0"/>
          <w:numId w:val="3"/>
        </w:numPr>
      </w:pPr>
      <w:r w:rsidRPr="00947C51">
        <w:t>Problem Solving</w:t>
      </w:r>
    </w:p>
    <w:p w14:paraId="39A418C1" w14:textId="77777777" w:rsidR="00947C51" w:rsidRPr="00947C51" w:rsidRDefault="00947C51" w:rsidP="00947C51">
      <w:pPr>
        <w:numPr>
          <w:ilvl w:val="0"/>
          <w:numId w:val="3"/>
        </w:numPr>
      </w:pPr>
      <w:r w:rsidRPr="00947C51">
        <w:t>Financial Knowledge</w:t>
      </w:r>
    </w:p>
    <w:p w14:paraId="675670FD" w14:textId="77777777" w:rsidR="00947C51" w:rsidRPr="00947C51" w:rsidRDefault="00947C51" w:rsidP="00947C51">
      <w:pPr>
        <w:numPr>
          <w:ilvl w:val="0"/>
          <w:numId w:val="3"/>
        </w:numPr>
      </w:pPr>
      <w:r w:rsidRPr="00947C51">
        <w:t>Project / Program Management</w:t>
      </w:r>
    </w:p>
    <w:p w14:paraId="7A3981AF" w14:textId="77777777" w:rsidR="00947C51" w:rsidRPr="00947C51" w:rsidRDefault="00947C51" w:rsidP="00947C51">
      <w:pPr>
        <w:numPr>
          <w:ilvl w:val="0"/>
          <w:numId w:val="3"/>
        </w:numPr>
      </w:pPr>
      <w:r w:rsidRPr="00947C51">
        <w:t>Public Speaking and Presentations</w:t>
      </w:r>
    </w:p>
    <w:p w14:paraId="0B31065F" w14:textId="77777777" w:rsidR="00947C51" w:rsidRPr="00947C51" w:rsidRDefault="00947C51" w:rsidP="00947C51">
      <w:r w:rsidRPr="00947C51">
        <w:t> </w:t>
      </w:r>
    </w:p>
    <w:p w14:paraId="72CE1E49" w14:textId="77777777" w:rsidR="00947C51" w:rsidRPr="00947C51" w:rsidRDefault="00947C51" w:rsidP="00947C51">
      <w:r w:rsidRPr="00947C51">
        <w:t>The course materials are primarily selected readings from two books listed below. I would also like to ask students to identify a newspaper or magazine article of interest for each class that will be presented by the student and discussed in class. You are expected to come to class fully prepared to discuss the week’s readings. Although we will be meeting virtually due to COVID-</w:t>
      </w:r>
      <w:r w:rsidRPr="00947C51">
        <w:lastRenderedPageBreak/>
        <w:t>19, class participation is critical in ensuring that you are engaged with the course material. Students can also expect to learn from practitioners in the field who will be guest speakers in a few of the classes.</w:t>
      </w:r>
    </w:p>
    <w:p w14:paraId="686CC410" w14:textId="77777777" w:rsidR="00947C51" w:rsidRPr="00947C51" w:rsidRDefault="00947C51" w:rsidP="00947C51">
      <w:pPr>
        <w:rPr>
          <w:b/>
          <w:bCs/>
        </w:rPr>
      </w:pPr>
      <w:bookmarkStart w:id="2" w:name="_5xalllw3lf0c"/>
      <w:bookmarkEnd w:id="2"/>
      <w:r w:rsidRPr="00947C51">
        <w:rPr>
          <w:b/>
          <w:bCs/>
        </w:rPr>
        <w:t>Course Grading</w:t>
      </w:r>
    </w:p>
    <w:p w14:paraId="2FAA8915" w14:textId="77777777" w:rsidR="00947C51" w:rsidRPr="00947C51" w:rsidRDefault="00947C51" w:rsidP="00947C51">
      <w:pPr>
        <w:numPr>
          <w:ilvl w:val="0"/>
          <w:numId w:val="4"/>
        </w:numPr>
      </w:pPr>
      <w:r w:rsidRPr="00947C51">
        <w:t>Class Participation: 25%</w:t>
      </w:r>
    </w:p>
    <w:p w14:paraId="3C59BA5A" w14:textId="77777777" w:rsidR="00947C51" w:rsidRPr="00947C51" w:rsidRDefault="00947C51" w:rsidP="00947C51">
      <w:pPr>
        <w:numPr>
          <w:ilvl w:val="0"/>
          <w:numId w:val="4"/>
        </w:numPr>
      </w:pPr>
      <w:r w:rsidRPr="00947C51">
        <w:t>Field Day Notes &amp; Financial Statement Assignment: 10%</w:t>
      </w:r>
    </w:p>
    <w:p w14:paraId="594EF2B9" w14:textId="77777777" w:rsidR="00947C51" w:rsidRPr="00947C51" w:rsidRDefault="00947C51" w:rsidP="00947C51">
      <w:pPr>
        <w:numPr>
          <w:ilvl w:val="0"/>
          <w:numId w:val="4"/>
        </w:numPr>
      </w:pPr>
      <w:r w:rsidRPr="00947C51">
        <w:t>Midterm: 20%</w:t>
      </w:r>
    </w:p>
    <w:p w14:paraId="44C28FDA" w14:textId="77777777" w:rsidR="00947C51" w:rsidRPr="00947C51" w:rsidRDefault="00947C51" w:rsidP="00947C51">
      <w:pPr>
        <w:numPr>
          <w:ilvl w:val="0"/>
          <w:numId w:val="4"/>
        </w:numPr>
      </w:pPr>
      <w:r w:rsidRPr="00947C51">
        <w:t>Nonprofit Presentations &amp; Scorecard: 25%</w:t>
      </w:r>
    </w:p>
    <w:p w14:paraId="77158691" w14:textId="77777777" w:rsidR="00947C51" w:rsidRPr="00947C51" w:rsidRDefault="00947C51" w:rsidP="00947C51">
      <w:pPr>
        <w:numPr>
          <w:ilvl w:val="0"/>
          <w:numId w:val="4"/>
        </w:numPr>
      </w:pPr>
      <w:r w:rsidRPr="00947C51">
        <w:t>Final: 20%</w:t>
      </w:r>
    </w:p>
    <w:p w14:paraId="0FD869DB" w14:textId="77777777" w:rsidR="00947C51" w:rsidRPr="00947C51" w:rsidRDefault="00947C51" w:rsidP="00947C51">
      <w:r w:rsidRPr="00947C51">
        <w:t> </w:t>
      </w:r>
    </w:p>
    <w:p w14:paraId="7C61AFBA" w14:textId="77777777" w:rsidR="00947C51" w:rsidRPr="00947C51" w:rsidRDefault="00947C51" w:rsidP="00947C51">
      <w:pPr>
        <w:rPr>
          <w:b/>
          <w:bCs/>
        </w:rPr>
      </w:pPr>
      <w:r w:rsidRPr="00947C51">
        <w:rPr>
          <w:b/>
          <w:bCs/>
        </w:rPr>
        <w:t>Course Materials</w:t>
      </w:r>
    </w:p>
    <w:p w14:paraId="4A9F631D" w14:textId="77777777" w:rsidR="00947C51" w:rsidRPr="00947C51" w:rsidRDefault="00947C51" w:rsidP="00947C51">
      <w:r w:rsidRPr="00947C51">
        <w:t> </w:t>
      </w:r>
    </w:p>
    <w:p w14:paraId="5FAA22A1" w14:textId="77777777" w:rsidR="00947C51" w:rsidRPr="00947C51" w:rsidRDefault="00947C51" w:rsidP="00947C51">
      <w:proofErr w:type="spellStart"/>
      <w:r w:rsidRPr="00947C51">
        <w:t>Frumkin</w:t>
      </w:r>
      <w:proofErr w:type="spellEnd"/>
      <w:r w:rsidRPr="00947C51">
        <w:t>, Peter. On Being Nonprofit: A Conceptual and Policy Primer. Harvard University Press. 2002.</w:t>
      </w:r>
    </w:p>
    <w:p w14:paraId="1CFF6530" w14:textId="77777777" w:rsidR="00947C51" w:rsidRPr="00947C51" w:rsidRDefault="00947C51" w:rsidP="00947C51">
      <w:r w:rsidRPr="00947C51">
        <w:t>Library Link: </w:t>
      </w:r>
      <w:hyperlink r:id="rId6" w:tgtFrame="_blank" w:history="1">
        <w:r w:rsidRPr="00947C51">
          <w:rPr>
            <w:rStyle w:val="Hyperlink"/>
          </w:rPr>
          <w:t>https://ebookcentral.proquest.com/lib/nyulibrary-ebooks/detail.action?docID=3300590</w:t>
        </w:r>
      </w:hyperlink>
    </w:p>
    <w:p w14:paraId="0CD9AF18" w14:textId="77777777" w:rsidR="00947C51" w:rsidRPr="00947C51" w:rsidRDefault="00947C51" w:rsidP="00947C51">
      <w:r w:rsidRPr="00947C51">
        <w:t> </w:t>
      </w:r>
    </w:p>
    <w:p w14:paraId="161ED83B" w14:textId="77777777" w:rsidR="00947C51" w:rsidRPr="00947C51" w:rsidRDefault="00947C51" w:rsidP="00947C51">
      <w:r w:rsidRPr="00947C51">
        <w:t xml:space="preserve">Libby and </w:t>
      </w:r>
      <w:proofErr w:type="spellStart"/>
      <w:r w:rsidRPr="00947C51">
        <w:t>Diertrick</w:t>
      </w:r>
      <w:proofErr w:type="spellEnd"/>
      <w:r w:rsidRPr="00947C51">
        <w:t>. Cases in Nonprofit Management: A hands on Approach to Problem Solving. SAGE Publications 2017.</w:t>
      </w:r>
    </w:p>
    <w:p w14:paraId="3859FEDD" w14:textId="77777777" w:rsidR="00947C51" w:rsidRPr="00947C51" w:rsidRDefault="00947C51" w:rsidP="00947C51">
      <w:r w:rsidRPr="00947C51">
        <w:t>Library Link:  </w:t>
      </w:r>
      <w:hyperlink r:id="rId7" w:tgtFrame="_blank" w:history="1">
        <w:r w:rsidRPr="00947C51">
          <w:rPr>
            <w:rStyle w:val="Hyperlink"/>
          </w:rPr>
          <w:t>https://ebookcentral.proquest.com/lib/nyulibrary-ebooks/detail.action?docID=5945453</w:t>
        </w:r>
      </w:hyperlink>
    </w:p>
    <w:p w14:paraId="6F933D4C" w14:textId="77777777" w:rsidR="00947C51" w:rsidRPr="00947C51" w:rsidRDefault="00947C51" w:rsidP="00947C51">
      <w:r w:rsidRPr="00947C51">
        <w:t> </w:t>
      </w:r>
    </w:p>
    <w:p w14:paraId="7EA384B7" w14:textId="77777777" w:rsidR="00947C51" w:rsidRPr="00947C51" w:rsidRDefault="00947C51" w:rsidP="00947C51">
      <w:pPr>
        <w:rPr>
          <w:b/>
          <w:bCs/>
        </w:rPr>
      </w:pPr>
      <w:r w:rsidRPr="00947C51">
        <w:rPr>
          <w:b/>
          <w:bCs/>
        </w:rPr>
        <w:t>Course Schedule</w:t>
      </w:r>
    </w:p>
    <w:p w14:paraId="62276746" w14:textId="77777777" w:rsidR="00947C51" w:rsidRPr="00947C51" w:rsidRDefault="00947C51" w:rsidP="00947C51">
      <w:bookmarkStart w:id="3" w:name="_pi6uzzm65m03"/>
      <w:bookmarkStart w:id="4" w:name="_ojfke15mxf1l"/>
      <w:bookmarkStart w:id="5" w:name="_ohx4zsqd9jrd"/>
      <w:bookmarkStart w:id="6" w:name="_xtyye4wskqap"/>
      <w:bookmarkEnd w:id="3"/>
      <w:bookmarkEnd w:id="4"/>
      <w:bookmarkEnd w:id="5"/>
      <w:bookmarkEnd w:id="6"/>
      <w:r w:rsidRPr="00947C51">
        <w:t> </w:t>
      </w:r>
    </w:p>
    <w:tbl>
      <w:tblPr>
        <w:tblW w:w="9923" w:type="dxa"/>
        <w:tblCellMar>
          <w:left w:w="0" w:type="dxa"/>
          <w:right w:w="0" w:type="dxa"/>
        </w:tblCellMar>
        <w:tblLook w:val="04A0" w:firstRow="1" w:lastRow="0" w:firstColumn="1" w:lastColumn="0" w:noHBand="0" w:noVBand="1"/>
      </w:tblPr>
      <w:tblGrid>
        <w:gridCol w:w="828"/>
        <w:gridCol w:w="1392"/>
        <w:gridCol w:w="2382"/>
        <w:gridCol w:w="2165"/>
        <w:gridCol w:w="3156"/>
      </w:tblGrid>
      <w:tr w:rsidR="00947C51" w:rsidRPr="00947C51" w14:paraId="1EBDD60F" w14:textId="77777777" w:rsidTr="00947C51">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39D2C0" w14:textId="5E5B231A" w:rsidR="00947C51" w:rsidRPr="00947C51" w:rsidRDefault="00947C51" w:rsidP="00947C51">
            <w:r w:rsidRPr="00947C51">
              <w:rPr>
                <w:b/>
                <w:bCs/>
              </w:rPr>
              <w:t>CLASS</w:t>
            </w:r>
          </w:p>
        </w:tc>
        <w:tc>
          <w:tcPr>
            <w:tcW w:w="13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368DB219" w14:textId="77F258B3" w:rsidR="00947C51" w:rsidRPr="00947C51" w:rsidRDefault="00947C51" w:rsidP="00947C51">
            <w:r w:rsidRPr="00947C51">
              <w:rPr>
                <w:b/>
                <w:bCs/>
              </w:rPr>
              <w:t>DATE</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268C083F" w14:textId="1EADBC22" w:rsidR="00947C51" w:rsidRPr="00947C51" w:rsidRDefault="00947C51" w:rsidP="00947C51">
            <w:r w:rsidRPr="00947C51">
              <w:rPr>
                <w:b/>
                <w:bCs/>
              </w:rPr>
              <w:t>TOPIC</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4FBBE195" w14:textId="054A670A" w:rsidR="00947C51" w:rsidRPr="00947C51" w:rsidRDefault="00947C51" w:rsidP="00947C51">
            <w:r w:rsidRPr="00947C51">
              <w:rPr>
                <w:b/>
                <w:bCs/>
              </w:rPr>
              <w:t>WHAT'S DUE TODAY?</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5D36EA0D" w14:textId="37F2ACAD" w:rsidR="00947C51" w:rsidRPr="00947C51" w:rsidRDefault="00947C51" w:rsidP="00947C51">
            <w:r w:rsidRPr="00947C51">
              <w:rPr>
                <w:b/>
                <w:bCs/>
              </w:rPr>
              <w:t>ACTIVITY/GUEST SPEAKER</w:t>
            </w:r>
          </w:p>
        </w:tc>
      </w:tr>
      <w:tr w:rsidR="00947C51" w:rsidRPr="00947C51" w14:paraId="2300F2E6" w14:textId="77777777" w:rsidTr="00947C51">
        <w:trPr>
          <w:trHeight w:val="74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C9AF0D" w14:textId="77777777" w:rsidR="00947C51" w:rsidRPr="00947C51" w:rsidRDefault="00947C51" w:rsidP="00947C51">
            <w:r w:rsidRPr="00947C51">
              <w:t>Class 1</w:t>
            </w:r>
          </w:p>
        </w:tc>
        <w:tc>
          <w:tcPr>
            <w:tcW w:w="139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B4D6901" w14:textId="77777777" w:rsidR="00947C51" w:rsidRPr="00947C51" w:rsidRDefault="00947C51" w:rsidP="00947C51">
            <w:r w:rsidRPr="00947C51">
              <w:t>Jul. 08</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3C218C5" w14:textId="77777777" w:rsidR="00947C51" w:rsidRPr="00947C51" w:rsidRDefault="00947C51" w:rsidP="00947C51">
            <w:r w:rsidRPr="00947C51">
              <w:t>Intro + Overview</w:t>
            </w:r>
          </w:p>
          <w:p w14:paraId="483CE308" w14:textId="77777777" w:rsidR="00947C51" w:rsidRPr="00947C51" w:rsidRDefault="00947C51" w:rsidP="00947C51">
            <w:r w:rsidRPr="00947C51">
              <w:t>(Nature of the Sector) / Governance &amp; Leadership</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2DE7CDA" w14:textId="77777777" w:rsidR="00947C51" w:rsidRPr="00947C51" w:rsidRDefault="00947C51" w:rsidP="00947C51"/>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C6893F6" w14:textId="77777777" w:rsidR="00947C51" w:rsidRPr="00947C51" w:rsidRDefault="00947C51" w:rsidP="00947C51">
            <w:r w:rsidRPr="00947C51">
              <w:t>Icebreaker: What has been one headline that has captured your attention over the past couple of months?</w:t>
            </w:r>
          </w:p>
        </w:tc>
      </w:tr>
      <w:tr w:rsidR="00947C51" w:rsidRPr="00947C51" w14:paraId="154FE785" w14:textId="77777777" w:rsidTr="00947C51">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7333AC" w14:textId="77777777" w:rsidR="00947C51" w:rsidRPr="00947C51" w:rsidRDefault="00947C51" w:rsidP="00947C51">
            <w:r w:rsidRPr="00947C51">
              <w:t>Class 2</w:t>
            </w:r>
          </w:p>
        </w:tc>
        <w:tc>
          <w:tcPr>
            <w:tcW w:w="139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C9250AF" w14:textId="77777777" w:rsidR="00947C51" w:rsidRPr="00947C51" w:rsidRDefault="00947C51" w:rsidP="00947C51">
            <w:r w:rsidRPr="00947C51">
              <w:t>Jul. 10</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42E2583" w14:textId="77777777" w:rsidR="00947C51" w:rsidRPr="00947C51" w:rsidRDefault="00947C51" w:rsidP="00947C51">
            <w:r w:rsidRPr="00947C51">
              <w:t>Programs Service Delivery</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961E790" w14:textId="77777777" w:rsidR="00947C51" w:rsidRPr="00947C51" w:rsidRDefault="00947C51" w:rsidP="00947C51"/>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BFD320B" w14:textId="77777777" w:rsidR="00947C51" w:rsidRPr="00947C51" w:rsidRDefault="00947C51" w:rsidP="00947C51">
            <w:r w:rsidRPr="00947C51">
              <w:t>Who would be on your Board of Advisors?</w:t>
            </w:r>
          </w:p>
          <w:p w14:paraId="0B75825A" w14:textId="77777777" w:rsidR="00947C51" w:rsidRPr="00947C51" w:rsidRDefault="00947C51" w:rsidP="00947C51">
            <w:r w:rsidRPr="00947C51">
              <w:t> </w:t>
            </w:r>
          </w:p>
          <w:p w14:paraId="36166C92" w14:textId="77777777" w:rsidR="00947C51" w:rsidRPr="00947C51" w:rsidRDefault="00947C51" w:rsidP="00947C51">
            <w:r w:rsidRPr="00947C51">
              <w:t>Potential Guest Speaker: Why do people serve on Boards? </w:t>
            </w:r>
          </w:p>
        </w:tc>
      </w:tr>
      <w:tr w:rsidR="00947C51" w:rsidRPr="00947C51" w14:paraId="3880148E" w14:textId="77777777" w:rsidTr="00947C51">
        <w:trPr>
          <w:trHeight w:val="34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71A1EC" w14:textId="77777777" w:rsidR="00947C51" w:rsidRPr="00947C51" w:rsidRDefault="00947C51" w:rsidP="00947C51">
            <w:r w:rsidRPr="00947C51">
              <w:t>Class 3</w:t>
            </w:r>
          </w:p>
        </w:tc>
        <w:tc>
          <w:tcPr>
            <w:tcW w:w="139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35DB4F2" w14:textId="77777777" w:rsidR="00947C51" w:rsidRPr="00947C51" w:rsidRDefault="00947C51" w:rsidP="00947C51">
            <w:r w:rsidRPr="00947C51">
              <w:t>Jul. 15</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CF39C6E" w14:textId="77777777" w:rsidR="00947C51" w:rsidRPr="00947C51" w:rsidRDefault="00947C51" w:rsidP="00947C51">
            <w:r w:rsidRPr="00947C51">
              <w:t>Program Log-Frames / Measuring Performance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8C4ECBF" w14:textId="77777777" w:rsidR="00947C51" w:rsidRPr="00947C51" w:rsidRDefault="00947C51" w:rsidP="00947C51">
            <w:r w:rsidRPr="00947C51">
              <w:t>Decide Which Nonprofit Sector You want to start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5BB2B7C" w14:textId="77777777" w:rsidR="00947C51" w:rsidRPr="00947C51" w:rsidRDefault="00947C51" w:rsidP="00947C51">
            <w:r w:rsidRPr="00947C51">
              <w:t>Select Your Nonprofit Sector</w:t>
            </w:r>
          </w:p>
        </w:tc>
      </w:tr>
      <w:tr w:rsidR="00947C51" w:rsidRPr="00947C51" w14:paraId="20C2A12A" w14:textId="77777777" w:rsidTr="00947C51">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A163A1" w14:textId="77777777" w:rsidR="00947C51" w:rsidRPr="00947C51" w:rsidRDefault="00947C51" w:rsidP="00947C51">
            <w:r w:rsidRPr="00947C51">
              <w:t>Class 4</w:t>
            </w:r>
          </w:p>
        </w:tc>
        <w:tc>
          <w:tcPr>
            <w:tcW w:w="139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E77DB5F" w14:textId="77777777" w:rsidR="00947C51" w:rsidRPr="00947C51" w:rsidRDefault="00947C51" w:rsidP="00947C51">
            <w:r w:rsidRPr="00947C51">
              <w:t>Jul 17</w:t>
            </w:r>
            <w:r w:rsidRPr="00947C51">
              <w:rPr>
                <w:vertAlign w:val="superscript"/>
              </w:rPr>
              <w:t>th</w:t>
            </w:r>
            <w:r w:rsidRPr="00947C51">
              <w:t>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727BB15" w14:textId="77777777" w:rsidR="00947C51" w:rsidRPr="00947C51" w:rsidRDefault="00947C51" w:rsidP="00947C51">
            <w:r w:rsidRPr="00947C51">
              <w:t>FIELD DAY – MIDTERM REVIEW</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A40D9DE" w14:textId="77777777" w:rsidR="00947C51" w:rsidRPr="00947C51" w:rsidRDefault="00947C51" w:rsidP="00947C51"/>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4F2C6D4" w14:textId="77777777" w:rsidR="00947C51" w:rsidRPr="00947C51" w:rsidRDefault="00947C51" w:rsidP="00947C51"/>
        </w:tc>
      </w:tr>
      <w:tr w:rsidR="00947C51" w:rsidRPr="00947C51" w14:paraId="6E03237D" w14:textId="77777777" w:rsidTr="00947C51">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AD7C2E" w14:textId="77777777" w:rsidR="00947C51" w:rsidRPr="00947C51" w:rsidRDefault="00947C51" w:rsidP="00947C51">
            <w:r w:rsidRPr="00947C51">
              <w:lastRenderedPageBreak/>
              <w:t>Class 5</w:t>
            </w:r>
          </w:p>
        </w:tc>
        <w:tc>
          <w:tcPr>
            <w:tcW w:w="139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B81EC31" w14:textId="77777777" w:rsidR="00947C51" w:rsidRPr="00947C51" w:rsidRDefault="00947C51" w:rsidP="00947C51">
            <w:r w:rsidRPr="00947C51">
              <w:t>Jul. 22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24EFAD4" w14:textId="77777777" w:rsidR="00947C51" w:rsidRPr="00947C51" w:rsidRDefault="00947C51" w:rsidP="00947C51">
            <w:r w:rsidRPr="00947C51">
              <w:t>TAKE HOME MIDTERM</w:t>
            </w:r>
            <w:bookmarkStart w:id="7" w:name="_GoBack"/>
            <w:bookmarkEnd w:id="7"/>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AF9677D" w14:textId="77777777" w:rsidR="00947C51" w:rsidRPr="00947C51" w:rsidRDefault="00947C51" w:rsidP="00947C51"/>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D040366" w14:textId="77777777" w:rsidR="00947C51" w:rsidRPr="00947C51" w:rsidRDefault="00947C51" w:rsidP="00947C51"/>
        </w:tc>
      </w:tr>
      <w:tr w:rsidR="00947C51" w:rsidRPr="00947C51" w14:paraId="5E8B28CB" w14:textId="77777777" w:rsidTr="00947C51">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755E89" w14:textId="77777777" w:rsidR="00947C51" w:rsidRPr="00947C51" w:rsidRDefault="00947C51" w:rsidP="00947C51">
            <w:r w:rsidRPr="00947C51">
              <w:t>Class 6</w:t>
            </w:r>
          </w:p>
        </w:tc>
        <w:tc>
          <w:tcPr>
            <w:tcW w:w="139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6B86570" w14:textId="77777777" w:rsidR="00947C51" w:rsidRPr="00947C51" w:rsidRDefault="00947C51" w:rsidP="00947C51">
            <w:r w:rsidRPr="00947C51">
              <w:t>Jul. 27</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B187852" w14:textId="77777777" w:rsidR="00947C51" w:rsidRPr="00947C51" w:rsidRDefault="00947C51" w:rsidP="00947C51">
            <w:r w:rsidRPr="00947C51">
              <w:t>Fundraising / Marketing &amp; Communications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4CC9438" w14:textId="77777777" w:rsidR="00947C51" w:rsidRPr="00947C51" w:rsidRDefault="00947C51" w:rsidP="00947C51"/>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75EE530" w14:textId="77777777" w:rsidR="00947C51" w:rsidRPr="00947C51" w:rsidRDefault="00947C51" w:rsidP="00947C51"/>
        </w:tc>
      </w:tr>
      <w:tr w:rsidR="00947C51" w:rsidRPr="00947C51" w14:paraId="6C357305" w14:textId="77777777" w:rsidTr="00947C51">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A8E318" w14:textId="77777777" w:rsidR="00947C51" w:rsidRPr="00947C51" w:rsidRDefault="00947C51" w:rsidP="00947C51">
            <w:r w:rsidRPr="00947C51">
              <w:t>Class 7</w:t>
            </w:r>
          </w:p>
        </w:tc>
        <w:tc>
          <w:tcPr>
            <w:tcW w:w="139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91CC00C" w14:textId="77777777" w:rsidR="00947C51" w:rsidRPr="00947C51" w:rsidRDefault="00947C51" w:rsidP="00947C51">
            <w:r w:rsidRPr="00947C51">
              <w:t>July 24</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F006C45" w14:textId="77777777" w:rsidR="00947C51" w:rsidRPr="00947C51" w:rsidRDefault="00947C51" w:rsidP="00947C51">
            <w:r w:rsidRPr="00947C51">
              <w:t>Financial Management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E4659B9" w14:textId="77777777" w:rsidR="00947C51" w:rsidRPr="00947C51" w:rsidRDefault="00947C51" w:rsidP="00947C51">
            <w:r w:rsidRPr="00947C51">
              <w:t>Which nonprofit marketing attracts your attention to give?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BECF310" w14:textId="77777777" w:rsidR="00947C51" w:rsidRPr="00947C51" w:rsidRDefault="00947C51" w:rsidP="00947C51"/>
        </w:tc>
      </w:tr>
      <w:tr w:rsidR="00947C51" w:rsidRPr="00947C51" w14:paraId="4BFB3616" w14:textId="77777777" w:rsidTr="00947C51">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8A6839" w14:textId="77777777" w:rsidR="00947C51" w:rsidRPr="00947C51" w:rsidRDefault="00947C51" w:rsidP="00947C51">
            <w:r w:rsidRPr="00947C51">
              <w:t>Class 8</w:t>
            </w:r>
          </w:p>
        </w:tc>
        <w:tc>
          <w:tcPr>
            <w:tcW w:w="139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DCD31A5" w14:textId="77777777" w:rsidR="00947C51" w:rsidRPr="00947C51" w:rsidRDefault="00947C51" w:rsidP="00947C51">
            <w:r w:rsidRPr="00947C51">
              <w:t>July 29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3F63FBD" w14:textId="77777777" w:rsidR="00947C51" w:rsidRPr="00947C51" w:rsidRDefault="00947C51" w:rsidP="00947C51">
            <w:r w:rsidRPr="00947C51">
              <w:t>HR Operations/ Strategic Growth &amp; Planning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8F8035D" w14:textId="77777777" w:rsidR="00947C51" w:rsidRPr="00947C51" w:rsidRDefault="00947C51" w:rsidP="00947C51">
            <w:r w:rsidRPr="00947C51">
              <w:t>Financial Management Assignment.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DA5C820" w14:textId="77777777" w:rsidR="00947C51" w:rsidRPr="00947C51" w:rsidRDefault="00947C51" w:rsidP="00947C51"/>
        </w:tc>
      </w:tr>
      <w:tr w:rsidR="00947C51" w:rsidRPr="00947C51" w14:paraId="5B2368E1" w14:textId="77777777" w:rsidTr="00947C51">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56C840" w14:textId="77777777" w:rsidR="00947C51" w:rsidRPr="00947C51" w:rsidRDefault="00947C51" w:rsidP="00947C51">
            <w:r w:rsidRPr="00947C51">
              <w:t>Class 9</w:t>
            </w:r>
          </w:p>
        </w:tc>
        <w:tc>
          <w:tcPr>
            <w:tcW w:w="139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F4D2C6C" w14:textId="77777777" w:rsidR="00947C51" w:rsidRPr="00947C51" w:rsidRDefault="00947C51" w:rsidP="00947C51">
            <w:r w:rsidRPr="00947C51">
              <w:t>July 31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EADF7BD" w14:textId="77777777" w:rsidR="00947C51" w:rsidRPr="00947C51" w:rsidRDefault="00947C51" w:rsidP="00947C51">
            <w:r w:rsidRPr="00947C51">
              <w:t>PRESENTATIONS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305D298" w14:textId="77777777" w:rsidR="00947C51" w:rsidRPr="00947C51" w:rsidRDefault="00947C51" w:rsidP="00947C51"/>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16CEF41" w14:textId="77777777" w:rsidR="00947C51" w:rsidRPr="00947C51" w:rsidRDefault="00947C51" w:rsidP="00947C51">
            <w:r w:rsidRPr="00947C51">
              <w:t>Reading a Strategic Plan</w:t>
            </w:r>
          </w:p>
        </w:tc>
      </w:tr>
      <w:tr w:rsidR="00947C51" w:rsidRPr="00947C51" w14:paraId="7E56EA54" w14:textId="77777777" w:rsidTr="00947C51">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7B5886" w14:textId="77777777" w:rsidR="00947C51" w:rsidRPr="00947C51" w:rsidRDefault="00947C51" w:rsidP="00947C51">
            <w:r w:rsidRPr="00947C51">
              <w:t>Class 10</w:t>
            </w:r>
          </w:p>
        </w:tc>
        <w:tc>
          <w:tcPr>
            <w:tcW w:w="139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F001640" w14:textId="77777777" w:rsidR="00947C51" w:rsidRPr="00947C51" w:rsidRDefault="00947C51" w:rsidP="00947C51">
            <w:r w:rsidRPr="00947C51">
              <w:t>Aug. 5</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1625B9C" w14:textId="77777777" w:rsidR="00947C51" w:rsidRPr="00947C51" w:rsidRDefault="00947C51" w:rsidP="00947C51">
            <w:r w:rsidRPr="00947C51">
              <w:t>PRESENTATIONS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56138A7" w14:textId="77777777" w:rsidR="00947C51" w:rsidRPr="00947C51" w:rsidRDefault="00947C51" w:rsidP="00947C51"/>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DC7355D" w14:textId="77777777" w:rsidR="00947C51" w:rsidRPr="00947C51" w:rsidRDefault="00947C51" w:rsidP="00947C51"/>
        </w:tc>
      </w:tr>
      <w:tr w:rsidR="00947C51" w:rsidRPr="00947C51" w14:paraId="0EC67DAD" w14:textId="77777777" w:rsidTr="00947C51">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688589" w14:textId="77777777" w:rsidR="00947C51" w:rsidRPr="00947C51" w:rsidRDefault="00947C51" w:rsidP="00947C51">
            <w:r w:rsidRPr="00947C51">
              <w:t>Class 11</w:t>
            </w:r>
          </w:p>
        </w:tc>
        <w:tc>
          <w:tcPr>
            <w:tcW w:w="139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FD7BDB3" w14:textId="77777777" w:rsidR="00947C51" w:rsidRPr="00947C51" w:rsidRDefault="00947C51" w:rsidP="00947C51">
            <w:r w:rsidRPr="00947C51">
              <w:t>Aug. 7</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2954935" w14:textId="77777777" w:rsidR="00947C51" w:rsidRPr="00947C51" w:rsidRDefault="00947C51" w:rsidP="00947C51">
            <w:r w:rsidRPr="00947C51">
              <w:t>PRESENTATIONS &amp; CLASS OVERVIEW</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4262D2D" w14:textId="77777777" w:rsidR="00947C51" w:rsidRPr="00947C51" w:rsidRDefault="00947C51" w:rsidP="00947C51">
            <w:r w:rsidRPr="00947C51">
              <w:t>Score Cards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79FF6A9" w14:textId="77777777" w:rsidR="00947C51" w:rsidRPr="00947C51" w:rsidRDefault="00947C51" w:rsidP="00947C51">
            <w:r w:rsidRPr="00947C51">
              <w:t> </w:t>
            </w:r>
          </w:p>
        </w:tc>
      </w:tr>
      <w:tr w:rsidR="00947C51" w:rsidRPr="00947C51" w14:paraId="0ED78527" w14:textId="77777777" w:rsidTr="00947C51">
        <w:trPr>
          <w:trHeight w:val="4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D005E0" w14:textId="77777777" w:rsidR="00947C51" w:rsidRPr="00947C51" w:rsidRDefault="00947C51" w:rsidP="00947C51">
            <w:r w:rsidRPr="00947C51">
              <w:t>Class 12</w:t>
            </w:r>
          </w:p>
        </w:tc>
        <w:tc>
          <w:tcPr>
            <w:tcW w:w="139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A7E4CC7" w14:textId="77777777" w:rsidR="00947C51" w:rsidRPr="00947C51" w:rsidRDefault="00947C51" w:rsidP="00947C51">
            <w:r w:rsidRPr="00947C51">
              <w:t>August 12</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A541F11" w14:textId="77777777" w:rsidR="00947C51" w:rsidRPr="00947C51" w:rsidRDefault="00947C51" w:rsidP="00947C51">
            <w:r w:rsidRPr="00947C51">
              <w:t>TAKE HOME EXAM</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838D8E6" w14:textId="77777777" w:rsidR="00947C51" w:rsidRPr="00947C51" w:rsidRDefault="00947C51" w:rsidP="00947C51">
            <w:r w:rsidRPr="00947C51">
              <w:t>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7E59D7D" w14:textId="77777777" w:rsidR="00947C51" w:rsidRPr="00947C51" w:rsidRDefault="00947C51" w:rsidP="00947C51">
            <w:r w:rsidRPr="00947C51">
              <w:t> </w:t>
            </w:r>
          </w:p>
        </w:tc>
      </w:tr>
    </w:tbl>
    <w:p w14:paraId="5429976C" w14:textId="77777777" w:rsidR="001847B2" w:rsidRDefault="001847B2" w:rsidP="00947C51">
      <w:pPr>
        <w:rPr>
          <w:b/>
          <w:bCs/>
        </w:rPr>
      </w:pPr>
    </w:p>
    <w:p w14:paraId="31E85EED" w14:textId="27C1E2E1" w:rsidR="00947C51" w:rsidRPr="00947C51" w:rsidRDefault="00947C51" w:rsidP="00947C51">
      <w:pPr>
        <w:rPr>
          <w:b/>
          <w:bCs/>
        </w:rPr>
      </w:pPr>
      <w:r w:rsidRPr="00947C51">
        <w:rPr>
          <w:b/>
          <w:bCs/>
        </w:rPr>
        <w:t>Detailed Course Overview</w:t>
      </w:r>
    </w:p>
    <w:p w14:paraId="3A8E6C56" w14:textId="77777777" w:rsidR="00947C51" w:rsidRPr="00947C51" w:rsidRDefault="00947C51" w:rsidP="00947C51">
      <w:pPr>
        <w:rPr>
          <w:b/>
          <w:bCs/>
        </w:rPr>
      </w:pPr>
      <w:r w:rsidRPr="00947C51">
        <w:rPr>
          <w:b/>
          <w:bCs/>
        </w:rPr>
        <w:t>Class 1: Introduction to the Course/ Governance &amp; Leadership  </w:t>
      </w:r>
    </w:p>
    <w:p w14:paraId="04DEE89A" w14:textId="77777777" w:rsidR="00947C51" w:rsidRPr="00947C51" w:rsidRDefault="00947C51" w:rsidP="00947C51">
      <w:pPr>
        <w:numPr>
          <w:ilvl w:val="0"/>
          <w:numId w:val="5"/>
        </w:numPr>
      </w:pPr>
      <w:proofErr w:type="spellStart"/>
      <w:r w:rsidRPr="00947C51">
        <w:t>Frumkin</w:t>
      </w:r>
      <w:proofErr w:type="spellEnd"/>
      <w:r w:rsidRPr="00947C51">
        <w:t>, Peter. Chapter 1</w:t>
      </w:r>
    </w:p>
    <w:p w14:paraId="768E08C0" w14:textId="77777777" w:rsidR="00947C51" w:rsidRPr="00947C51" w:rsidRDefault="00947C51" w:rsidP="00947C51">
      <w:pPr>
        <w:numPr>
          <w:ilvl w:val="0"/>
          <w:numId w:val="5"/>
        </w:numPr>
      </w:pPr>
      <w:r w:rsidRPr="00947C51">
        <w:t>Libby and Dietrick. Chapters 2 &amp; 3.</w:t>
      </w:r>
    </w:p>
    <w:p w14:paraId="41F29F6B" w14:textId="77777777" w:rsidR="00947C51" w:rsidRPr="00947C51" w:rsidRDefault="00947C51" w:rsidP="00947C51">
      <w:r w:rsidRPr="00947C51">
        <w:t> </w:t>
      </w:r>
    </w:p>
    <w:p w14:paraId="13DA947B" w14:textId="77777777" w:rsidR="00947C51" w:rsidRPr="00947C51" w:rsidRDefault="00947C51" w:rsidP="00947C51">
      <w:pPr>
        <w:rPr>
          <w:b/>
          <w:bCs/>
        </w:rPr>
      </w:pPr>
      <w:r w:rsidRPr="00947C51">
        <w:rPr>
          <w:b/>
          <w:bCs/>
        </w:rPr>
        <w:t>Class 2: Program Service Delivery</w:t>
      </w:r>
    </w:p>
    <w:p w14:paraId="437EE689" w14:textId="77777777" w:rsidR="00947C51" w:rsidRPr="00947C51" w:rsidRDefault="00947C51" w:rsidP="00947C51">
      <w:pPr>
        <w:numPr>
          <w:ilvl w:val="0"/>
          <w:numId w:val="6"/>
        </w:numPr>
      </w:pPr>
      <w:r w:rsidRPr="00947C51">
        <w:t>Libby and Dietrick. Chapter 11: Case 11.1: Meeting Your Mission p. 195</w:t>
      </w:r>
    </w:p>
    <w:p w14:paraId="765EE3EB" w14:textId="77777777" w:rsidR="00947C51" w:rsidRPr="00947C51" w:rsidRDefault="00947C51" w:rsidP="00947C51">
      <w:pPr>
        <w:numPr>
          <w:ilvl w:val="0"/>
          <w:numId w:val="6"/>
        </w:numPr>
      </w:pPr>
      <w:proofErr w:type="spellStart"/>
      <w:r w:rsidRPr="00947C51">
        <w:t>Frumkin</w:t>
      </w:r>
      <w:proofErr w:type="spellEnd"/>
      <w:r w:rsidRPr="00947C51">
        <w:t>, Peter: Chapter 3: Service Delivery</w:t>
      </w:r>
    </w:p>
    <w:p w14:paraId="315A9985" w14:textId="77777777" w:rsidR="00947C51" w:rsidRPr="00947C51" w:rsidRDefault="00947C51" w:rsidP="00947C51">
      <w:pPr>
        <w:rPr>
          <w:b/>
          <w:bCs/>
        </w:rPr>
      </w:pPr>
      <w:r w:rsidRPr="00947C51">
        <w:rPr>
          <w:b/>
          <w:bCs/>
        </w:rPr>
        <w:t>Class 3: Program Log-Frame/Performance Measurement</w:t>
      </w:r>
    </w:p>
    <w:p w14:paraId="7BC05369" w14:textId="77777777" w:rsidR="00947C51" w:rsidRPr="00947C51" w:rsidRDefault="00947C51" w:rsidP="00947C51">
      <w:pPr>
        <w:numPr>
          <w:ilvl w:val="0"/>
          <w:numId w:val="7"/>
        </w:numPr>
      </w:pPr>
      <w:proofErr w:type="spellStart"/>
      <w:r w:rsidRPr="00947C51">
        <w:t>Frumkin</w:t>
      </w:r>
      <w:proofErr w:type="spellEnd"/>
      <w:r w:rsidRPr="00947C51">
        <w:t>, Peter: Chapter 5: Social Entrepreneurship</w:t>
      </w:r>
    </w:p>
    <w:p w14:paraId="1C4CEA05" w14:textId="77777777" w:rsidR="00947C51" w:rsidRPr="00947C51" w:rsidRDefault="00947C51" w:rsidP="00947C51">
      <w:pPr>
        <w:numPr>
          <w:ilvl w:val="0"/>
          <w:numId w:val="7"/>
        </w:numPr>
      </w:pPr>
      <w:r w:rsidRPr="00947C51">
        <w:t>Libby and Dietrick. Chapter 4: Measuring Performance</w:t>
      </w:r>
    </w:p>
    <w:p w14:paraId="4DBA737E" w14:textId="77777777" w:rsidR="00947C51" w:rsidRPr="00947C51" w:rsidRDefault="00947C51" w:rsidP="00947C51">
      <w:pPr>
        <w:numPr>
          <w:ilvl w:val="0"/>
          <w:numId w:val="7"/>
        </w:numPr>
      </w:pPr>
      <w:proofErr w:type="spellStart"/>
      <w:r w:rsidRPr="00947C51">
        <w:t>Frumkin</w:t>
      </w:r>
      <w:proofErr w:type="spellEnd"/>
      <w:r w:rsidRPr="00947C51">
        <w:t>, Peter: Chapter 6: Balancing the Functions of Nonprofits and Voluntary Action.</w:t>
      </w:r>
    </w:p>
    <w:p w14:paraId="04ED9307" w14:textId="77777777" w:rsidR="00947C51" w:rsidRPr="00947C51" w:rsidRDefault="00947C51" w:rsidP="00947C51">
      <w:pPr>
        <w:rPr>
          <w:b/>
          <w:bCs/>
        </w:rPr>
      </w:pPr>
      <w:r w:rsidRPr="00947C51">
        <w:rPr>
          <w:b/>
          <w:bCs/>
        </w:rPr>
        <w:t>Class 4: FIELD DAY - MIDTERM REVIEW</w:t>
      </w:r>
    </w:p>
    <w:p w14:paraId="292E1663" w14:textId="77777777" w:rsidR="00947C51" w:rsidRPr="00947C51" w:rsidRDefault="00947C51" w:rsidP="00947C51">
      <w:r w:rsidRPr="00947C51">
        <w:t> </w:t>
      </w:r>
    </w:p>
    <w:p w14:paraId="681D9932" w14:textId="77777777" w:rsidR="00947C51" w:rsidRPr="00947C51" w:rsidRDefault="00947C51" w:rsidP="00947C51">
      <w:r w:rsidRPr="00947C51">
        <w:rPr>
          <w:b/>
          <w:bCs/>
        </w:rPr>
        <w:t>CLASS 5: TAKE HOME MIDTERM</w:t>
      </w:r>
    </w:p>
    <w:p w14:paraId="528B0D12" w14:textId="77777777" w:rsidR="00947C51" w:rsidRPr="00947C51" w:rsidRDefault="00947C51" w:rsidP="00947C51">
      <w:pPr>
        <w:rPr>
          <w:b/>
          <w:bCs/>
        </w:rPr>
      </w:pPr>
      <w:r w:rsidRPr="00947C51">
        <w:rPr>
          <w:b/>
          <w:bCs/>
        </w:rPr>
        <w:t>Class 6:</w:t>
      </w:r>
      <w:r w:rsidRPr="00947C51">
        <w:t> </w:t>
      </w:r>
      <w:r w:rsidRPr="00947C51">
        <w:rPr>
          <w:b/>
          <w:bCs/>
        </w:rPr>
        <w:t>Fundraising / Marketing &amp; Communications</w:t>
      </w:r>
    </w:p>
    <w:p w14:paraId="3B8159AF" w14:textId="77777777" w:rsidR="00947C51" w:rsidRPr="00947C51" w:rsidRDefault="00947C51" w:rsidP="00947C51">
      <w:r w:rsidRPr="00947C51">
        <w:t> </w:t>
      </w:r>
    </w:p>
    <w:p w14:paraId="6C5A68DC" w14:textId="77777777" w:rsidR="00947C51" w:rsidRPr="00947C51" w:rsidRDefault="00947C51" w:rsidP="00947C51">
      <w:pPr>
        <w:numPr>
          <w:ilvl w:val="0"/>
          <w:numId w:val="8"/>
        </w:numPr>
      </w:pPr>
      <w:r w:rsidRPr="00947C51">
        <w:lastRenderedPageBreak/>
        <w:t>Libby and Dietrick. Chapter 9. Generating Revenue</w:t>
      </w:r>
    </w:p>
    <w:p w14:paraId="6375BB67" w14:textId="77777777" w:rsidR="00947C51" w:rsidRPr="00947C51" w:rsidRDefault="00947C51" w:rsidP="00947C51">
      <w:pPr>
        <w:numPr>
          <w:ilvl w:val="0"/>
          <w:numId w:val="8"/>
        </w:numPr>
      </w:pPr>
      <w:r w:rsidRPr="00947C51">
        <w:t>Libby and Dietrick. Case 14.4: When Donors Don’t Want to Fund Overhead. Pg. 253</w:t>
      </w:r>
    </w:p>
    <w:p w14:paraId="36A34572" w14:textId="77777777" w:rsidR="00947C51" w:rsidRPr="00947C51" w:rsidRDefault="00947C51" w:rsidP="00947C51">
      <w:pPr>
        <w:numPr>
          <w:ilvl w:val="0"/>
          <w:numId w:val="9"/>
        </w:numPr>
      </w:pPr>
      <w:r w:rsidRPr="00947C51">
        <w:t>Libby and Dietrick. Chapter 8: Public Relations and Marketing</w:t>
      </w:r>
    </w:p>
    <w:p w14:paraId="30ABF6E3" w14:textId="77777777" w:rsidR="00947C51" w:rsidRPr="00947C51" w:rsidRDefault="00947C51" w:rsidP="00947C51">
      <w:pPr>
        <w:rPr>
          <w:b/>
          <w:bCs/>
        </w:rPr>
      </w:pPr>
      <w:r w:rsidRPr="00947C51">
        <w:rPr>
          <w:b/>
          <w:bCs/>
        </w:rPr>
        <w:t>Class 7:</w:t>
      </w:r>
      <w:r w:rsidRPr="00947C51">
        <w:t> </w:t>
      </w:r>
      <w:r w:rsidRPr="00947C51">
        <w:rPr>
          <w:b/>
          <w:bCs/>
        </w:rPr>
        <w:t>Financial Management</w:t>
      </w:r>
    </w:p>
    <w:p w14:paraId="502B3F73" w14:textId="77777777" w:rsidR="00947C51" w:rsidRPr="00947C51" w:rsidRDefault="00947C51" w:rsidP="00947C51">
      <w:pPr>
        <w:numPr>
          <w:ilvl w:val="0"/>
          <w:numId w:val="10"/>
        </w:numPr>
      </w:pPr>
      <w:r w:rsidRPr="00947C51">
        <w:t>Libby and Dietrick. Chapter 10: Financial Management</w:t>
      </w:r>
    </w:p>
    <w:p w14:paraId="262E0894" w14:textId="77777777" w:rsidR="00947C51" w:rsidRPr="00947C51" w:rsidRDefault="00947C51" w:rsidP="00947C51">
      <w:pPr>
        <w:rPr>
          <w:b/>
          <w:bCs/>
        </w:rPr>
      </w:pPr>
      <w:r w:rsidRPr="00947C51">
        <w:rPr>
          <w:b/>
          <w:bCs/>
        </w:rPr>
        <w:t>Class 8: Human Resources &amp; Operations / Strategic Planning</w:t>
      </w:r>
    </w:p>
    <w:p w14:paraId="4F0BDB86" w14:textId="77777777" w:rsidR="00947C51" w:rsidRPr="00947C51" w:rsidRDefault="00947C51" w:rsidP="00947C51">
      <w:pPr>
        <w:numPr>
          <w:ilvl w:val="0"/>
          <w:numId w:val="11"/>
        </w:numPr>
      </w:pPr>
      <w:r w:rsidRPr="00947C51">
        <w:t>Libby and Dietrick. Chapter 6: Human Resource Management</w:t>
      </w:r>
    </w:p>
    <w:p w14:paraId="14F181A5" w14:textId="77777777" w:rsidR="00947C51" w:rsidRPr="00947C51" w:rsidRDefault="00947C51" w:rsidP="00947C51">
      <w:pPr>
        <w:numPr>
          <w:ilvl w:val="0"/>
          <w:numId w:val="11"/>
        </w:numPr>
      </w:pPr>
      <w:r w:rsidRPr="00947C51">
        <w:t>Libby and Dietrick. Chapter 12: Case 12.1 Internal Systems. P. 210.</w:t>
      </w:r>
    </w:p>
    <w:p w14:paraId="100741E1" w14:textId="77777777" w:rsidR="00947C51" w:rsidRPr="00947C51" w:rsidRDefault="00947C51" w:rsidP="00947C51">
      <w:pPr>
        <w:numPr>
          <w:ilvl w:val="0"/>
          <w:numId w:val="12"/>
        </w:numPr>
      </w:pPr>
      <w:r w:rsidRPr="00947C51">
        <w:t>Libby and Dietrick. Chapter 5: Strategic Decision Making  </w:t>
      </w:r>
    </w:p>
    <w:p w14:paraId="01770B4A" w14:textId="77777777" w:rsidR="00947C51" w:rsidRPr="00947C51" w:rsidRDefault="00947C51" w:rsidP="00947C51">
      <w:pPr>
        <w:numPr>
          <w:ilvl w:val="0"/>
          <w:numId w:val="12"/>
        </w:numPr>
      </w:pPr>
      <w:r w:rsidRPr="00947C51">
        <w:t>Nancy Lublin &amp; Aria Finger. “Radical Focus and Driving Demand for Scale.” Stanford Social Innovation Review. May 28</w:t>
      </w:r>
      <w:r w:rsidRPr="00947C51">
        <w:rPr>
          <w:vertAlign w:val="superscript"/>
        </w:rPr>
        <w:t>th</w:t>
      </w:r>
      <w:r w:rsidRPr="00947C51">
        <w:t>, 2014.</w:t>
      </w:r>
    </w:p>
    <w:p w14:paraId="2193C004" w14:textId="2FE8902F" w:rsidR="001847B2" w:rsidRDefault="00947C51" w:rsidP="001847B2">
      <w:pPr>
        <w:numPr>
          <w:ilvl w:val="0"/>
          <w:numId w:val="12"/>
        </w:numPr>
      </w:pPr>
      <w:r w:rsidRPr="00947C51">
        <w:t>Aaron Hurst. “</w:t>
      </w:r>
      <w:hyperlink r:id="rId8" w:tgtFrame="_blank" w:history="1">
        <w:r w:rsidRPr="00947C51">
          <w:rPr>
            <w:rStyle w:val="Hyperlink"/>
          </w:rPr>
          <w:t>Is Business the New Charity</w:t>
        </w:r>
      </w:hyperlink>
      <w:r w:rsidRPr="00947C51">
        <w:t>”.  Stanford Social Innovation Review. June 26</w:t>
      </w:r>
      <w:r w:rsidRPr="00947C51">
        <w:rPr>
          <w:vertAlign w:val="superscript"/>
        </w:rPr>
        <w:t>th</w:t>
      </w:r>
      <w:r w:rsidRPr="00947C51">
        <w:t>, 2012.</w:t>
      </w:r>
    </w:p>
    <w:p w14:paraId="07F02B40" w14:textId="77777777" w:rsidR="001847B2" w:rsidRPr="001847B2" w:rsidRDefault="001847B2" w:rsidP="001847B2"/>
    <w:p w14:paraId="12AA6EF2" w14:textId="6E6B3316" w:rsidR="00947C51" w:rsidRPr="001847B2" w:rsidRDefault="00947C51" w:rsidP="001847B2">
      <w:r w:rsidRPr="001847B2">
        <w:rPr>
          <w:b/>
          <w:bCs/>
        </w:rPr>
        <w:t>Class 9: PRESENTATIONS</w:t>
      </w:r>
    </w:p>
    <w:p w14:paraId="63997EB4" w14:textId="77777777" w:rsidR="001847B2" w:rsidRDefault="001847B2" w:rsidP="00947C51">
      <w:pPr>
        <w:rPr>
          <w:b/>
          <w:bCs/>
        </w:rPr>
      </w:pPr>
    </w:p>
    <w:p w14:paraId="2F6EF45C" w14:textId="23B7F75D" w:rsidR="00947C51" w:rsidRPr="00947C51" w:rsidRDefault="00947C51" w:rsidP="00947C51">
      <w:pPr>
        <w:rPr>
          <w:b/>
          <w:bCs/>
        </w:rPr>
      </w:pPr>
      <w:r w:rsidRPr="00947C51">
        <w:rPr>
          <w:b/>
          <w:bCs/>
        </w:rPr>
        <w:t>Class 10:</w:t>
      </w:r>
      <w:r w:rsidRPr="00947C51">
        <w:t> </w:t>
      </w:r>
      <w:r w:rsidRPr="00947C51">
        <w:rPr>
          <w:b/>
          <w:bCs/>
        </w:rPr>
        <w:t>PRESENTATIONS</w:t>
      </w:r>
    </w:p>
    <w:p w14:paraId="6BED2122" w14:textId="77777777" w:rsidR="001847B2" w:rsidRDefault="001847B2" w:rsidP="00947C51">
      <w:pPr>
        <w:rPr>
          <w:b/>
          <w:bCs/>
        </w:rPr>
      </w:pPr>
    </w:p>
    <w:p w14:paraId="4EA13AF9" w14:textId="129EAA04" w:rsidR="00947C51" w:rsidRPr="00947C51" w:rsidRDefault="00947C51" w:rsidP="00947C51">
      <w:pPr>
        <w:rPr>
          <w:b/>
          <w:bCs/>
        </w:rPr>
      </w:pPr>
      <w:r w:rsidRPr="00947C51">
        <w:rPr>
          <w:b/>
          <w:bCs/>
        </w:rPr>
        <w:t>Class 11: PRESENTATIONS &amp; CLASS OVERVIEW</w:t>
      </w:r>
    </w:p>
    <w:p w14:paraId="1A603C39" w14:textId="77777777" w:rsidR="00947C51" w:rsidRPr="00947C51" w:rsidRDefault="00947C51" w:rsidP="00947C51">
      <w:r w:rsidRPr="00947C51">
        <w:t> </w:t>
      </w:r>
    </w:p>
    <w:p w14:paraId="78F32168" w14:textId="77777777" w:rsidR="00947C51" w:rsidRPr="00947C51" w:rsidRDefault="00947C51" w:rsidP="00947C51">
      <w:r w:rsidRPr="00947C51">
        <w:rPr>
          <w:b/>
          <w:bCs/>
        </w:rPr>
        <w:t>CLASS 12: TAKE HOME EXAM</w:t>
      </w:r>
    </w:p>
    <w:p w14:paraId="225596A8" w14:textId="77777777" w:rsidR="00947C51" w:rsidRPr="00947C51" w:rsidRDefault="00947C51" w:rsidP="00947C51">
      <w:pPr>
        <w:rPr>
          <w:b/>
          <w:bCs/>
        </w:rPr>
      </w:pPr>
      <w:r w:rsidRPr="00947C51">
        <w:rPr>
          <w:b/>
          <w:bCs/>
        </w:rPr>
        <w:t>Academic Integrity</w:t>
      </w:r>
    </w:p>
    <w:p w14:paraId="488178E2" w14:textId="77777777" w:rsidR="00947C51" w:rsidRPr="00947C51" w:rsidRDefault="00947C51" w:rsidP="00947C51">
      <w:r w:rsidRPr="00947C51">
        <w:t>Academic integrity is a vital component of Wagner and NYU. All students enrolled in this class are required to read and abide by </w:t>
      </w:r>
      <w:hyperlink r:id="rId9" w:tgtFrame="_blank" w:history="1">
        <w:r w:rsidRPr="00947C51">
          <w:rPr>
            <w:rStyle w:val="Hyperlink"/>
          </w:rPr>
          <w:t>Wagner’s Academic Code</w:t>
        </w:r>
      </w:hyperlink>
      <w:r w:rsidRPr="00947C51">
        <w:t>. All Wagner students have already read and signed the </w:t>
      </w:r>
      <w:hyperlink r:id="rId10" w:tgtFrame="_blank" w:history="1">
        <w:r w:rsidRPr="00947C51">
          <w:rPr>
            <w:rStyle w:val="Hyperlink"/>
          </w:rPr>
          <w:t>Wagner Academic Oath</w:t>
        </w:r>
      </w:hyperlink>
      <w:r w:rsidRPr="00947C51">
        <w:t>. Plagiarism of any form will not be tolerated and students in this class are expected to report violations to me. If any student in this class is unsure about what is expected of you and how to abide by the academic code, you should consult with me.</w:t>
      </w:r>
    </w:p>
    <w:p w14:paraId="2A074561" w14:textId="77777777" w:rsidR="00947C51" w:rsidRPr="00947C51" w:rsidRDefault="00947C51" w:rsidP="00947C51">
      <w:pPr>
        <w:rPr>
          <w:b/>
          <w:bCs/>
        </w:rPr>
      </w:pPr>
      <w:r w:rsidRPr="00947C51">
        <w:rPr>
          <w:b/>
          <w:bCs/>
        </w:rPr>
        <w:t>Henry and Lucy Moses Center for Students with Disabilities at NYU</w:t>
      </w:r>
    </w:p>
    <w:p w14:paraId="73FD5474" w14:textId="77777777" w:rsidR="00947C51" w:rsidRPr="00947C51" w:rsidRDefault="00947C51" w:rsidP="00947C51">
      <w:r w:rsidRPr="00947C51">
        <w:t>Academic accommodations are available for students with disabilities.  Please visit the </w:t>
      </w:r>
      <w:hyperlink r:id="rId11" w:tgtFrame="_blank" w:history="1">
        <w:r w:rsidRPr="00947C51">
          <w:rPr>
            <w:rStyle w:val="Hyperlink"/>
          </w:rPr>
          <w:t>Moses Center for Students with Disabilities (CSD) website</w:t>
        </w:r>
      </w:hyperlink>
      <w:r w:rsidRPr="00947C51">
        <w:t> </w:t>
      </w:r>
      <w:r w:rsidRPr="00947C51">
        <w:rPr>
          <w:b/>
          <w:bCs/>
        </w:rPr>
        <w:t>and click the “Get Started” button. You can also call or email CSD </w:t>
      </w:r>
      <w:r w:rsidRPr="00947C51">
        <w:t>(212-998-4980 or </w:t>
      </w:r>
      <w:hyperlink r:id="rId12" w:tgtFrame="_blank" w:tooltip="mailto:mosescsd@nyu.edu" w:history="1">
        <w:r w:rsidRPr="00947C51">
          <w:rPr>
            <w:rStyle w:val="Hyperlink"/>
          </w:rPr>
          <w:t>mosescsd@nyu.edu</w:t>
        </w:r>
      </w:hyperlink>
      <w:r w:rsidRPr="00947C51">
        <w:t>) for information. Students who are requesting academic accommodations are strongly advised to reach out to the Moses Center as early as possible in the semester for assistance.</w:t>
      </w:r>
    </w:p>
    <w:p w14:paraId="589DEB83" w14:textId="77777777" w:rsidR="00947C51" w:rsidRPr="00947C51" w:rsidRDefault="00947C51" w:rsidP="00947C51">
      <w:pPr>
        <w:rPr>
          <w:b/>
          <w:bCs/>
        </w:rPr>
      </w:pPr>
      <w:r w:rsidRPr="00947C51">
        <w:rPr>
          <w:b/>
          <w:bCs/>
        </w:rPr>
        <w:t>NYU’s Calendar Policy on Religious Holidays</w:t>
      </w:r>
    </w:p>
    <w:p w14:paraId="3D60E6B8" w14:textId="77777777" w:rsidR="00947C51" w:rsidRPr="00947C51" w:rsidRDefault="001847B2" w:rsidP="00947C51">
      <w:hyperlink r:id="rId13" w:tgtFrame="_blank" w:history="1">
        <w:r w:rsidR="00947C51" w:rsidRPr="00947C51">
          <w:rPr>
            <w:rStyle w:val="Hyperlink"/>
          </w:rPr>
          <w:t>NYU’s Calendar Policy on Religious Holidays</w:t>
        </w:r>
      </w:hyperlink>
      <w:r w:rsidR="00947C51" w:rsidRPr="00947C51">
        <w:t>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14:paraId="497FEA6C" w14:textId="77777777" w:rsidR="00947C51" w:rsidRPr="00947C51" w:rsidRDefault="00947C51" w:rsidP="00947C51">
      <w:pPr>
        <w:rPr>
          <w:b/>
          <w:bCs/>
        </w:rPr>
      </w:pPr>
      <w:r w:rsidRPr="00947C51">
        <w:rPr>
          <w:b/>
          <w:bCs/>
        </w:rPr>
        <w:t>NYU’s Wellness Exchange</w:t>
      </w:r>
    </w:p>
    <w:p w14:paraId="4B51194F" w14:textId="77777777" w:rsidR="00947C51" w:rsidRPr="00947C51" w:rsidRDefault="001847B2" w:rsidP="00947C51">
      <w:hyperlink r:id="rId14" w:tgtFrame="_blank" w:history="1">
        <w:r w:rsidR="00947C51" w:rsidRPr="00947C51">
          <w:rPr>
            <w:rStyle w:val="Hyperlink"/>
          </w:rPr>
          <w:t>NYU’s Wellness Exchange</w:t>
        </w:r>
      </w:hyperlink>
      <w:r w:rsidR="00947C51" w:rsidRPr="00947C51">
        <w:t> has extensive student health and mental health resources. A private hotline (212-443-9999) is available 24/7 that connects students with a professional who can help them address day-to-day challenges as well as other health-related concerns.</w:t>
      </w:r>
    </w:p>
    <w:p w14:paraId="220AC8A4" w14:textId="77777777" w:rsidR="006B1133" w:rsidRDefault="006B1133"/>
    <w:sectPr w:rsidR="006B1133" w:rsidSect="00AA6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15DC"/>
    <w:multiLevelType w:val="multilevel"/>
    <w:tmpl w:val="922A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44649"/>
    <w:multiLevelType w:val="multilevel"/>
    <w:tmpl w:val="49EC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A5926"/>
    <w:multiLevelType w:val="multilevel"/>
    <w:tmpl w:val="A218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C155BC"/>
    <w:multiLevelType w:val="multilevel"/>
    <w:tmpl w:val="993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2237F"/>
    <w:multiLevelType w:val="multilevel"/>
    <w:tmpl w:val="D788F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12F11"/>
    <w:multiLevelType w:val="multilevel"/>
    <w:tmpl w:val="D632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127ADF"/>
    <w:multiLevelType w:val="multilevel"/>
    <w:tmpl w:val="25D6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2415FB"/>
    <w:multiLevelType w:val="multilevel"/>
    <w:tmpl w:val="F78A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A24943"/>
    <w:multiLevelType w:val="multilevel"/>
    <w:tmpl w:val="A5F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822E16"/>
    <w:multiLevelType w:val="multilevel"/>
    <w:tmpl w:val="9FC2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D1306F"/>
    <w:multiLevelType w:val="multilevel"/>
    <w:tmpl w:val="8D9E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E24DC3"/>
    <w:multiLevelType w:val="multilevel"/>
    <w:tmpl w:val="FC7A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0"/>
  </w:num>
  <w:num w:numId="5">
    <w:abstractNumId w:val="9"/>
  </w:num>
  <w:num w:numId="6">
    <w:abstractNumId w:val="11"/>
  </w:num>
  <w:num w:numId="7">
    <w:abstractNumId w:val="10"/>
  </w:num>
  <w:num w:numId="8">
    <w:abstractNumId w:val="3"/>
  </w:num>
  <w:num w:numId="9">
    <w:abstractNumId w:val="8"/>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51"/>
    <w:rsid w:val="001847B2"/>
    <w:rsid w:val="006B1133"/>
    <w:rsid w:val="00947C51"/>
    <w:rsid w:val="009E1F38"/>
    <w:rsid w:val="00AA6DDF"/>
    <w:rsid w:val="00B45DCD"/>
    <w:rsid w:val="00FA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8B80"/>
  <w15:chartTrackingRefBased/>
  <w15:docId w15:val="{E74CDA4E-BD0A-7F4C-B4E7-E076619D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C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C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C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C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C51"/>
    <w:rPr>
      <w:rFonts w:eastAsiaTheme="majorEastAsia" w:cstheme="majorBidi"/>
      <w:color w:val="272727" w:themeColor="text1" w:themeTint="D8"/>
    </w:rPr>
  </w:style>
  <w:style w:type="paragraph" w:styleId="Title">
    <w:name w:val="Title"/>
    <w:basedOn w:val="Normal"/>
    <w:next w:val="Normal"/>
    <w:link w:val="TitleChar"/>
    <w:uiPriority w:val="10"/>
    <w:qFormat/>
    <w:rsid w:val="00947C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C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C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7C51"/>
    <w:rPr>
      <w:i/>
      <w:iCs/>
      <w:color w:val="404040" w:themeColor="text1" w:themeTint="BF"/>
    </w:rPr>
  </w:style>
  <w:style w:type="paragraph" w:styleId="ListParagraph">
    <w:name w:val="List Paragraph"/>
    <w:basedOn w:val="Normal"/>
    <w:uiPriority w:val="34"/>
    <w:qFormat/>
    <w:rsid w:val="00947C51"/>
    <w:pPr>
      <w:ind w:left="720"/>
      <w:contextualSpacing/>
    </w:pPr>
  </w:style>
  <w:style w:type="character" w:styleId="IntenseEmphasis">
    <w:name w:val="Intense Emphasis"/>
    <w:basedOn w:val="DefaultParagraphFont"/>
    <w:uiPriority w:val="21"/>
    <w:qFormat/>
    <w:rsid w:val="00947C51"/>
    <w:rPr>
      <w:i/>
      <w:iCs/>
      <w:color w:val="0F4761" w:themeColor="accent1" w:themeShade="BF"/>
    </w:rPr>
  </w:style>
  <w:style w:type="paragraph" w:styleId="IntenseQuote">
    <w:name w:val="Intense Quote"/>
    <w:basedOn w:val="Normal"/>
    <w:next w:val="Normal"/>
    <w:link w:val="IntenseQuoteChar"/>
    <w:uiPriority w:val="30"/>
    <w:qFormat/>
    <w:rsid w:val="00947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C51"/>
    <w:rPr>
      <w:i/>
      <w:iCs/>
      <w:color w:val="0F4761" w:themeColor="accent1" w:themeShade="BF"/>
    </w:rPr>
  </w:style>
  <w:style w:type="character" w:styleId="IntenseReference">
    <w:name w:val="Intense Reference"/>
    <w:basedOn w:val="DefaultParagraphFont"/>
    <w:uiPriority w:val="32"/>
    <w:qFormat/>
    <w:rsid w:val="00947C51"/>
    <w:rPr>
      <w:b/>
      <w:bCs/>
      <w:smallCaps/>
      <w:color w:val="0F4761" w:themeColor="accent1" w:themeShade="BF"/>
      <w:spacing w:val="5"/>
    </w:rPr>
  </w:style>
  <w:style w:type="character" w:styleId="Hyperlink">
    <w:name w:val="Hyperlink"/>
    <w:basedOn w:val="DefaultParagraphFont"/>
    <w:uiPriority w:val="99"/>
    <w:unhideWhenUsed/>
    <w:rsid w:val="00947C51"/>
    <w:rPr>
      <w:color w:val="467886" w:themeColor="hyperlink"/>
      <w:u w:val="single"/>
    </w:rPr>
  </w:style>
  <w:style w:type="character" w:styleId="UnresolvedMention">
    <w:name w:val="Unresolved Mention"/>
    <w:basedOn w:val="DefaultParagraphFont"/>
    <w:uiPriority w:val="99"/>
    <w:semiHidden/>
    <w:unhideWhenUsed/>
    <w:rsid w:val="00947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19162">
      <w:bodyDiv w:val="1"/>
      <w:marLeft w:val="0"/>
      <w:marRight w:val="0"/>
      <w:marTop w:val="0"/>
      <w:marBottom w:val="0"/>
      <w:divBdr>
        <w:top w:val="none" w:sz="0" w:space="0" w:color="auto"/>
        <w:left w:val="none" w:sz="0" w:space="0" w:color="auto"/>
        <w:bottom w:val="none" w:sz="0" w:space="0" w:color="auto"/>
        <w:right w:val="none" w:sz="0" w:space="0" w:color="auto"/>
      </w:divBdr>
    </w:div>
    <w:div w:id="20689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ireview.org/blog/entry/is_business_the_new_charity?utm_source=Enews12_06_28&amp;utm_medium=email&amp;utm_content=3&amp;utm_campaign=hurst" TargetMode="External"/><Relationship Id="rId13" Type="http://schemas.openxmlformats.org/officeDocument/2006/relationships/hyperlink" Target="https://www.nyu.edu/about/policies-guidelines-compliance/policies-and-guidelines/university-calendar-policy-on-religious-holidays.html" TargetMode="External"/><Relationship Id="rId3" Type="http://schemas.openxmlformats.org/officeDocument/2006/relationships/settings" Target="settings.xml"/><Relationship Id="rId7" Type="http://schemas.openxmlformats.org/officeDocument/2006/relationships/hyperlink" Target="https://ebookcentral.proquest.com/lib/nyulibrary-ebooks/detail.action?docID=5945453" TargetMode="External"/><Relationship Id="rId12" Type="http://schemas.openxmlformats.org/officeDocument/2006/relationships/hyperlink" Target="mailto:mosescsd@ny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bookcentral.proquest.com/lib/nyulibrary-ebooks/detail.action?docID=3300590" TargetMode="External"/><Relationship Id="rId11" Type="http://schemas.openxmlformats.org/officeDocument/2006/relationships/hyperlink" Target="https://www.nyu.edu/students/communities-and-groups/students-with-disabilities.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agner.nyu.edu/portal/students/policies/academic-oath" TargetMode="External"/><Relationship Id="rId4" Type="http://schemas.openxmlformats.org/officeDocument/2006/relationships/webSettings" Target="webSettings.xml"/><Relationship Id="rId9" Type="http://schemas.openxmlformats.org/officeDocument/2006/relationships/hyperlink" Target="https://wagner.nyu.edu/portal/students/policies/code" TargetMode="External"/><Relationship Id="rId14" Type="http://schemas.openxmlformats.org/officeDocument/2006/relationships/hyperlink" Target="http://www.nyu.edu/life/safety-health-wellness/wellness-exchan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Rosendaal, Maya I</dc:creator>
  <cp:keywords/>
  <dc:description/>
  <cp:lastModifiedBy>Seth Flynn</cp:lastModifiedBy>
  <cp:revision>2</cp:revision>
  <dcterms:created xsi:type="dcterms:W3CDTF">2024-09-11T19:25:00Z</dcterms:created>
  <dcterms:modified xsi:type="dcterms:W3CDTF">2024-09-12T15:38:00Z</dcterms:modified>
</cp:coreProperties>
</file>