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FE347" w14:textId="77777777" w:rsidR="00BF17C6" w:rsidRPr="002F5BC6" w:rsidRDefault="00BF17C6" w:rsidP="00BF17C6">
      <w:pPr>
        <w:pStyle w:val="Heading1"/>
        <w:keepNext w:val="0"/>
        <w:keepLines w:val="0"/>
        <w:spacing w:before="0" w:after="0"/>
        <w:jc w:val="center"/>
        <w:rPr>
          <w:sz w:val="24"/>
          <w:szCs w:val="24"/>
        </w:rPr>
      </w:pPr>
      <w:bookmarkStart w:id="0" w:name="_9j295h4h53dh" w:colFirst="0" w:colLast="0"/>
      <w:bookmarkEnd w:id="0"/>
      <w:r w:rsidRPr="002F5BC6">
        <w:rPr>
          <w:noProof/>
          <w:sz w:val="24"/>
          <w:szCs w:val="24"/>
        </w:rPr>
        <w:drawing>
          <wp:inline distT="0" distB="0" distL="0" distR="0" wp14:anchorId="66376ABA" wp14:editId="770650B0">
            <wp:extent cx="5943600" cy="668655"/>
            <wp:effectExtent l="0" t="0" r="0" b="0"/>
            <wp:docPr id="1" name="Picture 1" title="NYU Wag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agner.nyu.edu/files/contact/img/WagnerLogo-FullNameHorizontal-BlackTyp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668655"/>
                    </a:xfrm>
                    <a:prstGeom prst="rect">
                      <a:avLst/>
                    </a:prstGeom>
                    <a:noFill/>
                    <a:ln>
                      <a:noFill/>
                    </a:ln>
                  </pic:spPr>
                </pic:pic>
              </a:graphicData>
            </a:graphic>
          </wp:inline>
        </w:drawing>
      </w:r>
    </w:p>
    <w:p w14:paraId="0F8EE6B3" w14:textId="77777777" w:rsidR="00BF17C6" w:rsidRPr="002F5BC6" w:rsidRDefault="00BF17C6" w:rsidP="00BF17C6">
      <w:pPr>
        <w:pStyle w:val="Heading1"/>
        <w:keepNext w:val="0"/>
        <w:keepLines w:val="0"/>
        <w:tabs>
          <w:tab w:val="right" w:pos="2160"/>
          <w:tab w:val="left" w:pos="7200"/>
        </w:tabs>
        <w:spacing w:before="0" w:after="0"/>
        <w:ind w:left="2520" w:right="2160"/>
        <w:jc w:val="center"/>
        <w:rPr>
          <w:sz w:val="24"/>
          <w:szCs w:val="24"/>
        </w:rPr>
      </w:pPr>
    </w:p>
    <w:p w14:paraId="78351493" w14:textId="77777777" w:rsidR="00BF17C6" w:rsidRPr="002F5BC6" w:rsidRDefault="00BF17C6" w:rsidP="00BF17C6">
      <w:pPr>
        <w:pStyle w:val="Heading1"/>
        <w:keepNext w:val="0"/>
        <w:keepLines w:val="0"/>
        <w:tabs>
          <w:tab w:val="right" w:pos="2160"/>
          <w:tab w:val="left" w:pos="7200"/>
        </w:tabs>
        <w:spacing w:before="0" w:after="0"/>
        <w:ind w:left="2520" w:right="2160"/>
        <w:jc w:val="center"/>
        <w:rPr>
          <w:sz w:val="24"/>
          <w:szCs w:val="24"/>
        </w:rPr>
      </w:pPr>
    </w:p>
    <w:p w14:paraId="0399E142" w14:textId="77777777" w:rsidR="00167529" w:rsidRDefault="00BF17C6" w:rsidP="008A732D">
      <w:pPr>
        <w:pStyle w:val="Heading1"/>
        <w:keepNext w:val="0"/>
        <w:keepLines w:val="0"/>
        <w:tabs>
          <w:tab w:val="right" w:pos="2160"/>
          <w:tab w:val="left" w:pos="7200"/>
        </w:tabs>
        <w:spacing w:before="0" w:after="0"/>
        <w:ind w:left="2520" w:right="2160"/>
        <w:jc w:val="center"/>
        <w:rPr>
          <w:b/>
          <w:sz w:val="32"/>
          <w:szCs w:val="24"/>
        </w:rPr>
      </w:pPr>
      <w:r w:rsidRPr="008A732D">
        <w:rPr>
          <w:b/>
          <w:sz w:val="32"/>
          <w:szCs w:val="24"/>
        </w:rPr>
        <w:t xml:space="preserve">CORE-GP 1022 </w:t>
      </w:r>
    </w:p>
    <w:p w14:paraId="27634A68" w14:textId="49C0C6DD" w:rsidR="00BF17C6" w:rsidRPr="008A732D" w:rsidRDefault="00BF17C6" w:rsidP="008A732D">
      <w:pPr>
        <w:pStyle w:val="Heading1"/>
        <w:keepNext w:val="0"/>
        <w:keepLines w:val="0"/>
        <w:tabs>
          <w:tab w:val="right" w:pos="2160"/>
          <w:tab w:val="left" w:pos="7200"/>
        </w:tabs>
        <w:spacing w:before="0" w:after="0"/>
        <w:ind w:left="2520" w:right="2160"/>
        <w:jc w:val="center"/>
        <w:rPr>
          <w:b/>
          <w:sz w:val="32"/>
          <w:szCs w:val="24"/>
        </w:rPr>
      </w:pPr>
      <w:r w:rsidRPr="008A732D">
        <w:rPr>
          <w:b/>
          <w:sz w:val="32"/>
          <w:szCs w:val="24"/>
        </w:rPr>
        <w:t>Introduction to Public Policy</w:t>
      </w:r>
    </w:p>
    <w:p w14:paraId="7C713445" w14:textId="232636CB" w:rsidR="00BF17C6" w:rsidRPr="008A732D" w:rsidRDefault="00BF17C6" w:rsidP="008A732D">
      <w:pPr>
        <w:pStyle w:val="Heading1"/>
        <w:keepNext w:val="0"/>
        <w:keepLines w:val="0"/>
        <w:tabs>
          <w:tab w:val="right" w:pos="2160"/>
          <w:tab w:val="left" w:pos="7200"/>
        </w:tabs>
        <w:spacing w:before="0" w:after="0"/>
        <w:ind w:left="2520" w:right="2160"/>
        <w:jc w:val="center"/>
        <w:rPr>
          <w:b/>
          <w:sz w:val="32"/>
          <w:szCs w:val="24"/>
        </w:rPr>
      </w:pPr>
      <w:r w:rsidRPr="008A732D">
        <w:rPr>
          <w:b/>
          <w:sz w:val="32"/>
          <w:szCs w:val="24"/>
        </w:rPr>
        <w:t>Fall 202</w:t>
      </w:r>
      <w:r w:rsidR="006901F7">
        <w:rPr>
          <w:b/>
          <w:sz w:val="32"/>
          <w:szCs w:val="24"/>
        </w:rPr>
        <w:t>4</w:t>
      </w:r>
    </w:p>
    <w:p w14:paraId="18BBA3D7" w14:textId="77777777" w:rsidR="001A797D" w:rsidRPr="001A797D" w:rsidRDefault="001A797D" w:rsidP="001A797D"/>
    <w:p w14:paraId="1DEF3F8B" w14:textId="77777777" w:rsidR="00BF17C6" w:rsidRPr="00344ED6" w:rsidRDefault="00BF17C6" w:rsidP="00BF17C6">
      <w:pPr>
        <w:pStyle w:val="Heading2"/>
        <w:keepNext w:val="0"/>
        <w:keepLines w:val="0"/>
        <w:spacing w:before="0" w:after="0"/>
        <w:rPr>
          <w:bCs/>
          <w:sz w:val="24"/>
          <w:szCs w:val="24"/>
        </w:rPr>
      </w:pPr>
      <w:r w:rsidRPr="00344ED6">
        <w:rPr>
          <w:bCs/>
          <w:sz w:val="24"/>
          <w:szCs w:val="24"/>
        </w:rPr>
        <w:t>Instructor Information</w:t>
      </w:r>
    </w:p>
    <w:p w14:paraId="7E65705D" w14:textId="68AEB8F3" w:rsidR="00BF17C6" w:rsidRPr="002F5BC6" w:rsidRDefault="008A732D" w:rsidP="004C086B">
      <w:pPr>
        <w:pStyle w:val="ListParagraph"/>
        <w:numPr>
          <w:ilvl w:val="0"/>
          <w:numId w:val="26"/>
        </w:numPr>
      </w:pPr>
      <w:r>
        <w:t>Domingo Morel</w:t>
      </w:r>
      <w:r w:rsidR="008B6688">
        <w:t>, Ph.D.</w:t>
      </w:r>
    </w:p>
    <w:p w14:paraId="14949AD2" w14:textId="6CBFF480" w:rsidR="00BF17C6" w:rsidRPr="002F5BC6" w:rsidRDefault="00BF17C6" w:rsidP="004C086B">
      <w:pPr>
        <w:pStyle w:val="ListParagraph"/>
        <w:numPr>
          <w:ilvl w:val="0"/>
          <w:numId w:val="26"/>
        </w:numPr>
      </w:pPr>
      <w:r w:rsidRPr="002F5BC6">
        <w:t xml:space="preserve">Email: </w:t>
      </w:r>
      <w:r w:rsidR="008A732D">
        <w:t>domingo.morel@nyu.edu</w:t>
      </w:r>
    </w:p>
    <w:p w14:paraId="4E7228CE" w14:textId="3EB81EDC" w:rsidR="00BF17C6" w:rsidRPr="002F5BC6" w:rsidRDefault="00BF17C6" w:rsidP="004C086B">
      <w:pPr>
        <w:pStyle w:val="ListParagraph"/>
        <w:numPr>
          <w:ilvl w:val="0"/>
          <w:numId w:val="26"/>
        </w:numPr>
      </w:pPr>
      <w:r w:rsidRPr="002F5BC6">
        <w:t xml:space="preserve">Office Hours: </w:t>
      </w:r>
      <w:r w:rsidR="008A732D">
        <w:t>By appointment</w:t>
      </w:r>
    </w:p>
    <w:p w14:paraId="0C943956" w14:textId="77777777" w:rsidR="00BF17C6" w:rsidRPr="002F5BC6" w:rsidRDefault="00BF17C6" w:rsidP="00BF17C6">
      <w:pPr>
        <w:pStyle w:val="Heading2"/>
        <w:spacing w:before="0" w:after="0"/>
        <w:rPr>
          <w:b w:val="0"/>
          <w:sz w:val="24"/>
          <w:szCs w:val="24"/>
        </w:rPr>
      </w:pPr>
      <w:bookmarkStart w:id="1" w:name="_appoem67ki5z" w:colFirst="0" w:colLast="0"/>
      <w:bookmarkEnd w:id="1"/>
    </w:p>
    <w:p w14:paraId="2D684B32" w14:textId="77777777" w:rsidR="00BF17C6" w:rsidRPr="00344ED6" w:rsidRDefault="00BF17C6" w:rsidP="00BF17C6">
      <w:pPr>
        <w:pStyle w:val="Heading2"/>
        <w:spacing w:before="0" w:after="0"/>
        <w:rPr>
          <w:bCs/>
          <w:sz w:val="24"/>
          <w:szCs w:val="24"/>
        </w:rPr>
      </w:pPr>
      <w:r w:rsidRPr="00344ED6">
        <w:rPr>
          <w:bCs/>
          <w:sz w:val="24"/>
          <w:szCs w:val="24"/>
        </w:rPr>
        <w:t>Course Information</w:t>
      </w:r>
    </w:p>
    <w:p w14:paraId="1519846C" w14:textId="695A14E2" w:rsidR="00BF17C6" w:rsidRPr="002F5BC6" w:rsidRDefault="00BF17C6" w:rsidP="004C086B">
      <w:pPr>
        <w:pStyle w:val="ListParagraph"/>
        <w:numPr>
          <w:ilvl w:val="0"/>
          <w:numId w:val="27"/>
        </w:numPr>
      </w:pPr>
      <w:r w:rsidRPr="002F5BC6">
        <w:t>Class Meeting Times: T</w:t>
      </w:r>
      <w:r w:rsidR="008A732D">
        <w:t>hursdays</w:t>
      </w:r>
      <w:r w:rsidRPr="002F5BC6">
        <w:t xml:space="preserve"> </w:t>
      </w:r>
      <w:r w:rsidR="006901F7">
        <w:t>3:00-4:40</w:t>
      </w:r>
      <w:r w:rsidRPr="002F5BC6">
        <w:t xml:space="preserve"> PM</w:t>
      </w:r>
    </w:p>
    <w:p w14:paraId="0EF9F31C" w14:textId="068AD07D" w:rsidR="00BF17C6" w:rsidRDefault="00BF17C6" w:rsidP="004C086B">
      <w:pPr>
        <w:pStyle w:val="ListParagraph"/>
        <w:numPr>
          <w:ilvl w:val="0"/>
          <w:numId w:val="27"/>
        </w:numPr>
      </w:pPr>
      <w:r w:rsidRPr="002F5BC6">
        <w:t xml:space="preserve">Class Location: </w:t>
      </w:r>
      <w:r w:rsidR="006901F7" w:rsidRPr="006901F7">
        <w:t>194 Mercer St Room 208</w:t>
      </w:r>
    </w:p>
    <w:p w14:paraId="563FC8E0" w14:textId="4D5368F3" w:rsidR="008A732D" w:rsidRDefault="00344ED6" w:rsidP="004C086B">
      <w:pPr>
        <w:pStyle w:val="ListParagraph"/>
        <w:numPr>
          <w:ilvl w:val="0"/>
          <w:numId w:val="27"/>
        </w:numPr>
      </w:pPr>
      <w:r>
        <w:t>Recitation Session: TBD</w:t>
      </w:r>
    </w:p>
    <w:p w14:paraId="644E0523" w14:textId="77777777" w:rsidR="008A732D" w:rsidRPr="002F5BC6" w:rsidRDefault="008A732D" w:rsidP="00BF17C6"/>
    <w:p w14:paraId="0D8B4456" w14:textId="77777777" w:rsidR="00BF17C6" w:rsidRPr="00344ED6" w:rsidRDefault="00BF17C6" w:rsidP="00BF17C6">
      <w:pPr>
        <w:pStyle w:val="Heading2"/>
        <w:keepNext w:val="0"/>
        <w:keepLines w:val="0"/>
        <w:spacing w:before="0" w:after="0"/>
        <w:rPr>
          <w:bCs/>
          <w:sz w:val="24"/>
          <w:szCs w:val="24"/>
        </w:rPr>
      </w:pPr>
      <w:r w:rsidRPr="00344ED6">
        <w:rPr>
          <w:bCs/>
          <w:sz w:val="24"/>
          <w:szCs w:val="24"/>
        </w:rPr>
        <w:t>Course Description</w:t>
      </w:r>
    </w:p>
    <w:p w14:paraId="6CF35AA1" w14:textId="6D1737EE" w:rsidR="00BF17C6" w:rsidRDefault="00290D64" w:rsidP="00BF17C6">
      <w:pPr>
        <w:rPr>
          <w:color w:val="222222"/>
          <w:shd w:val="clear" w:color="auto" w:fill="FFFFFF"/>
        </w:rPr>
      </w:pPr>
      <w:r w:rsidRPr="00290D64">
        <w:rPr>
          <w:color w:val="222222"/>
          <w:shd w:val="clear" w:color="auto" w:fill="FFFFFF"/>
        </w:rPr>
        <w:t>This course is designed to expose students to various characteristics of policymaking in the American political system. Relying broadly, but not limited to, political science research, we will examine some of the political institutions and key actors that develop American public policy. We will consider several venues for policymaking – including agenda setting, legislation, and interest group activity – and examine how political institutions shape and constrain policymaking at the local, state, and national level.</w:t>
      </w:r>
    </w:p>
    <w:p w14:paraId="305A327C" w14:textId="272298A9" w:rsidR="00BF17C6" w:rsidRDefault="00BF17C6" w:rsidP="00BF17C6">
      <w:pPr>
        <w:pStyle w:val="Heading2"/>
        <w:keepNext w:val="0"/>
        <w:keepLines w:val="0"/>
        <w:spacing w:before="0" w:after="0"/>
        <w:rPr>
          <w:b w:val="0"/>
          <w:sz w:val="24"/>
          <w:szCs w:val="24"/>
        </w:rPr>
      </w:pPr>
      <w:bookmarkStart w:id="2" w:name="_5xalllw3lf0c" w:colFirst="0" w:colLast="0"/>
      <w:bookmarkEnd w:id="2"/>
    </w:p>
    <w:p w14:paraId="754764EE" w14:textId="77777777" w:rsidR="004C086B" w:rsidRPr="004C086B" w:rsidRDefault="004C086B" w:rsidP="004C086B"/>
    <w:p w14:paraId="612419E3" w14:textId="74B173F3" w:rsidR="001A797D" w:rsidRPr="00344ED6" w:rsidRDefault="001A797D" w:rsidP="001A797D">
      <w:pPr>
        <w:pStyle w:val="Heading2"/>
        <w:spacing w:before="0" w:after="0"/>
        <w:rPr>
          <w:bCs/>
          <w:sz w:val="24"/>
          <w:szCs w:val="24"/>
        </w:rPr>
      </w:pPr>
      <w:r w:rsidRPr="00344ED6">
        <w:rPr>
          <w:bCs/>
          <w:sz w:val="24"/>
          <w:szCs w:val="24"/>
        </w:rPr>
        <w:t xml:space="preserve">Course </w:t>
      </w:r>
      <w:r>
        <w:rPr>
          <w:bCs/>
          <w:sz w:val="24"/>
          <w:szCs w:val="24"/>
        </w:rPr>
        <w:t>and Learning Objectives</w:t>
      </w:r>
    </w:p>
    <w:p w14:paraId="771A02A4" w14:textId="77777777" w:rsidR="00BF17C6" w:rsidRPr="002F5BC6" w:rsidRDefault="00BF17C6" w:rsidP="00BF17C6">
      <w:r w:rsidRPr="002F5BC6">
        <w:t>By the end of this course students should be able to:</w:t>
      </w:r>
    </w:p>
    <w:p w14:paraId="3BE43E7F" w14:textId="77777777" w:rsidR="00BF17C6" w:rsidRPr="002F5BC6" w:rsidRDefault="00BF17C6" w:rsidP="00BF17C6"/>
    <w:p w14:paraId="3E3E5DC9" w14:textId="7418096F" w:rsidR="00BF17C6" w:rsidRPr="002F5BC6" w:rsidRDefault="00BF17C6" w:rsidP="00BF17C6">
      <w:pPr>
        <w:pStyle w:val="ListParagraph"/>
        <w:numPr>
          <w:ilvl w:val="0"/>
          <w:numId w:val="5"/>
        </w:numPr>
      </w:pPr>
      <w:r w:rsidRPr="002F5BC6">
        <w:t xml:space="preserve">Identify </w:t>
      </w:r>
      <w:r w:rsidR="00167529">
        <w:t xml:space="preserve">key political actors in the policymaking process and </w:t>
      </w:r>
      <w:r w:rsidRPr="002F5BC6">
        <w:t>explain</w:t>
      </w:r>
      <w:r w:rsidR="00167529">
        <w:t xml:space="preserve"> how institutions, interests, and ideas shape the </w:t>
      </w:r>
      <w:r w:rsidRPr="002F5BC6">
        <w:t>policy process.</w:t>
      </w:r>
    </w:p>
    <w:p w14:paraId="79A0C514" w14:textId="7E360474" w:rsidR="00BF17C6" w:rsidRPr="002F5BC6" w:rsidRDefault="00BF17C6" w:rsidP="00BF17C6">
      <w:pPr>
        <w:pStyle w:val="ListParagraph"/>
        <w:numPr>
          <w:ilvl w:val="0"/>
          <w:numId w:val="5"/>
        </w:numPr>
      </w:pPr>
      <w:r w:rsidRPr="002F5BC6">
        <w:t>Clearly articulate and frame a policy issue in a way that calls attention to it and mobilizes action</w:t>
      </w:r>
      <w:r w:rsidR="004C086B">
        <w:t>.</w:t>
      </w:r>
      <w:r w:rsidRPr="002F5BC6">
        <w:t xml:space="preserve"> </w:t>
      </w:r>
    </w:p>
    <w:p w14:paraId="27B58109" w14:textId="77777777" w:rsidR="00BF17C6" w:rsidRPr="002F5BC6" w:rsidRDefault="00BF17C6" w:rsidP="00BF17C6">
      <w:pPr>
        <w:pStyle w:val="ListParagraph"/>
        <w:numPr>
          <w:ilvl w:val="0"/>
          <w:numId w:val="5"/>
        </w:numPr>
      </w:pPr>
      <w:r w:rsidRPr="002F5BC6">
        <w:t>Develop the competence to identify the key stakeholders on an issue.</w:t>
      </w:r>
    </w:p>
    <w:p w14:paraId="7923F7FA" w14:textId="77777777" w:rsidR="00BF17C6" w:rsidRPr="002F5BC6" w:rsidRDefault="00BF17C6" w:rsidP="00BF17C6">
      <w:pPr>
        <w:pStyle w:val="ListParagraph"/>
        <w:numPr>
          <w:ilvl w:val="0"/>
          <w:numId w:val="5"/>
        </w:numPr>
      </w:pPr>
      <w:r w:rsidRPr="002F5BC6">
        <w:t>Develop capacity to evaluate and recommend a policy response to a specific policy problem using criteria of effectiveness, efficiency, and political feasibility.</w:t>
      </w:r>
    </w:p>
    <w:p w14:paraId="2A024AC1" w14:textId="7AFB7F77" w:rsidR="00167529" w:rsidRPr="002F5BC6" w:rsidRDefault="00BF17C6" w:rsidP="00185D2A">
      <w:pPr>
        <w:pStyle w:val="ListParagraph"/>
        <w:numPr>
          <w:ilvl w:val="0"/>
          <w:numId w:val="5"/>
        </w:numPr>
      </w:pPr>
      <w:r w:rsidRPr="002F5BC6">
        <w:t>Develop the capacity to orally communicate policy recommendations.</w:t>
      </w:r>
    </w:p>
    <w:p w14:paraId="6474B4AF" w14:textId="77777777" w:rsidR="00BF17C6" w:rsidRPr="004C086B" w:rsidRDefault="00BF17C6" w:rsidP="00185D2A">
      <w:pPr>
        <w:pStyle w:val="Heading3"/>
        <w:pageBreakBefore/>
        <w:spacing w:before="0" w:after="0"/>
        <w:rPr>
          <w:b/>
          <w:color w:val="auto"/>
          <w:sz w:val="24"/>
          <w:szCs w:val="24"/>
        </w:rPr>
      </w:pPr>
      <w:bookmarkStart w:id="3" w:name="_u95d5zrdds3z" w:colFirst="0" w:colLast="0"/>
      <w:bookmarkEnd w:id="3"/>
      <w:r w:rsidRPr="004C086B">
        <w:rPr>
          <w:b/>
          <w:color w:val="auto"/>
          <w:sz w:val="24"/>
          <w:szCs w:val="24"/>
        </w:rPr>
        <w:lastRenderedPageBreak/>
        <w:t>Learning Assessment Table</w:t>
      </w:r>
    </w:p>
    <w:p w14:paraId="6C4490D0" w14:textId="77777777" w:rsidR="00BF17C6" w:rsidRPr="002F5BC6" w:rsidRDefault="00BF17C6" w:rsidP="00BF17C6"/>
    <w:tbl>
      <w:tblPr>
        <w:tblStyle w:val="TableGrid"/>
        <w:tblW w:w="0" w:type="auto"/>
        <w:jc w:val="center"/>
        <w:tblLook w:val="04A0" w:firstRow="1" w:lastRow="0" w:firstColumn="1" w:lastColumn="0" w:noHBand="0" w:noVBand="1"/>
        <w:tblDescription w:val="Learning Assessment Table"/>
      </w:tblPr>
      <w:tblGrid>
        <w:gridCol w:w="4610"/>
        <w:gridCol w:w="3935"/>
      </w:tblGrid>
      <w:tr w:rsidR="00BF17C6" w:rsidRPr="002F5BC6" w14:paraId="333D7548" w14:textId="77777777" w:rsidTr="004C086B">
        <w:trPr>
          <w:trHeight w:val="773"/>
          <w:tblHeader/>
          <w:jc w:val="center"/>
        </w:trPr>
        <w:tc>
          <w:tcPr>
            <w:tcW w:w="0" w:type="auto"/>
            <w:vAlign w:val="center"/>
            <w:hideMark/>
          </w:tcPr>
          <w:p w14:paraId="1D746357" w14:textId="77777777" w:rsidR="00BF17C6" w:rsidRPr="004C086B" w:rsidRDefault="00BF17C6" w:rsidP="004C086B">
            <w:pPr>
              <w:jc w:val="center"/>
              <w:rPr>
                <w:b/>
                <w:sz w:val="24"/>
                <w:szCs w:val="24"/>
              </w:rPr>
            </w:pPr>
            <w:r w:rsidRPr="004C086B">
              <w:rPr>
                <w:b/>
                <w:bCs/>
                <w:sz w:val="24"/>
                <w:szCs w:val="24"/>
                <w:shd w:val="clear" w:color="auto" w:fill="FFFFFF"/>
              </w:rPr>
              <w:t>Corresponding Course Learning Objective</w:t>
            </w:r>
          </w:p>
        </w:tc>
        <w:tc>
          <w:tcPr>
            <w:tcW w:w="3935" w:type="dxa"/>
            <w:vAlign w:val="center"/>
            <w:hideMark/>
          </w:tcPr>
          <w:p w14:paraId="1513CA1D" w14:textId="6A98E929" w:rsidR="00BF17C6" w:rsidRPr="004C086B" w:rsidRDefault="00BF17C6" w:rsidP="004C086B">
            <w:pPr>
              <w:jc w:val="center"/>
              <w:rPr>
                <w:b/>
                <w:sz w:val="24"/>
                <w:szCs w:val="24"/>
              </w:rPr>
            </w:pPr>
            <w:r w:rsidRPr="004C086B">
              <w:rPr>
                <w:b/>
                <w:bCs/>
                <w:sz w:val="24"/>
                <w:szCs w:val="24"/>
                <w:shd w:val="clear" w:color="auto" w:fill="FFFFFF"/>
              </w:rPr>
              <w:t>Corresponding Assignment Title</w:t>
            </w:r>
          </w:p>
        </w:tc>
      </w:tr>
      <w:tr w:rsidR="00BF17C6" w:rsidRPr="002F5BC6" w14:paraId="64B61D53" w14:textId="77777777" w:rsidTr="004C086B">
        <w:trPr>
          <w:jc w:val="center"/>
        </w:trPr>
        <w:tc>
          <w:tcPr>
            <w:tcW w:w="0" w:type="auto"/>
            <w:vAlign w:val="center"/>
          </w:tcPr>
          <w:p w14:paraId="57C90E37" w14:textId="77777777" w:rsidR="00BF17C6" w:rsidRPr="002F5BC6" w:rsidRDefault="00BF17C6" w:rsidP="004C086B">
            <w:pPr>
              <w:jc w:val="center"/>
              <w:rPr>
                <w:sz w:val="24"/>
                <w:szCs w:val="24"/>
              </w:rPr>
            </w:pPr>
            <w:r w:rsidRPr="002F5BC6">
              <w:rPr>
                <w:sz w:val="24"/>
                <w:szCs w:val="24"/>
              </w:rPr>
              <w:t>#1</w:t>
            </w:r>
          </w:p>
        </w:tc>
        <w:tc>
          <w:tcPr>
            <w:tcW w:w="3935" w:type="dxa"/>
            <w:vAlign w:val="center"/>
          </w:tcPr>
          <w:p w14:paraId="5733439F" w14:textId="638B3C56" w:rsidR="00BF17C6" w:rsidRPr="002F5BC6" w:rsidRDefault="00C53D07" w:rsidP="004C086B">
            <w:pPr>
              <w:jc w:val="center"/>
              <w:rPr>
                <w:sz w:val="24"/>
                <w:szCs w:val="24"/>
              </w:rPr>
            </w:pPr>
            <w:r w:rsidRPr="002F5BC6">
              <w:rPr>
                <w:sz w:val="24"/>
                <w:szCs w:val="24"/>
              </w:rPr>
              <w:t>Op-ed</w:t>
            </w:r>
            <w:r>
              <w:rPr>
                <w:sz w:val="24"/>
                <w:szCs w:val="24"/>
              </w:rPr>
              <w:t xml:space="preserve"> Assignment</w:t>
            </w:r>
          </w:p>
        </w:tc>
      </w:tr>
      <w:tr w:rsidR="00BF17C6" w:rsidRPr="002F5BC6" w14:paraId="44A10585" w14:textId="77777777" w:rsidTr="004C086B">
        <w:tblPrEx>
          <w:jc w:val="left"/>
        </w:tblPrEx>
        <w:tc>
          <w:tcPr>
            <w:tcW w:w="0" w:type="auto"/>
            <w:vAlign w:val="center"/>
          </w:tcPr>
          <w:p w14:paraId="398FEEF1" w14:textId="77777777" w:rsidR="00BF17C6" w:rsidRPr="002F5BC6" w:rsidRDefault="00BF17C6" w:rsidP="004C086B">
            <w:pPr>
              <w:jc w:val="center"/>
              <w:rPr>
                <w:sz w:val="24"/>
                <w:szCs w:val="24"/>
              </w:rPr>
            </w:pPr>
            <w:r w:rsidRPr="002F5BC6">
              <w:rPr>
                <w:sz w:val="24"/>
                <w:szCs w:val="24"/>
              </w:rPr>
              <w:t>#2</w:t>
            </w:r>
          </w:p>
        </w:tc>
        <w:tc>
          <w:tcPr>
            <w:tcW w:w="3935" w:type="dxa"/>
            <w:vAlign w:val="center"/>
          </w:tcPr>
          <w:p w14:paraId="61CE5BB4" w14:textId="4A64A69F" w:rsidR="00BF17C6" w:rsidRPr="002F5BC6" w:rsidRDefault="00C53D07" w:rsidP="004C086B">
            <w:pPr>
              <w:jc w:val="center"/>
              <w:rPr>
                <w:sz w:val="24"/>
                <w:szCs w:val="24"/>
              </w:rPr>
            </w:pPr>
            <w:r w:rsidRPr="00C53D07">
              <w:rPr>
                <w:sz w:val="24"/>
                <w:szCs w:val="24"/>
              </w:rPr>
              <w:t>Stakeholder Analysis</w:t>
            </w:r>
          </w:p>
        </w:tc>
      </w:tr>
      <w:tr w:rsidR="00BF17C6" w:rsidRPr="002F5BC6" w14:paraId="2A184E42" w14:textId="77777777" w:rsidTr="004C086B">
        <w:tblPrEx>
          <w:jc w:val="left"/>
        </w:tblPrEx>
        <w:tc>
          <w:tcPr>
            <w:tcW w:w="0" w:type="auto"/>
            <w:vAlign w:val="center"/>
          </w:tcPr>
          <w:p w14:paraId="705DA631" w14:textId="77777777" w:rsidR="00BF17C6" w:rsidRPr="002F5BC6" w:rsidRDefault="00BF17C6" w:rsidP="004C086B">
            <w:pPr>
              <w:jc w:val="center"/>
              <w:rPr>
                <w:sz w:val="24"/>
                <w:szCs w:val="24"/>
              </w:rPr>
            </w:pPr>
            <w:r w:rsidRPr="002F5BC6">
              <w:rPr>
                <w:sz w:val="24"/>
                <w:szCs w:val="24"/>
              </w:rPr>
              <w:t>#3</w:t>
            </w:r>
          </w:p>
        </w:tc>
        <w:tc>
          <w:tcPr>
            <w:tcW w:w="3935" w:type="dxa"/>
            <w:vAlign w:val="center"/>
          </w:tcPr>
          <w:p w14:paraId="53BD8EB3" w14:textId="49F75244" w:rsidR="00BF17C6" w:rsidRPr="002F5BC6" w:rsidRDefault="00C53D07" w:rsidP="004C086B">
            <w:pPr>
              <w:jc w:val="center"/>
              <w:rPr>
                <w:sz w:val="24"/>
                <w:szCs w:val="24"/>
              </w:rPr>
            </w:pPr>
            <w:r>
              <w:rPr>
                <w:sz w:val="24"/>
                <w:szCs w:val="24"/>
              </w:rPr>
              <w:t xml:space="preserve">Strategy </w:t>
            </w:r>
            <w:r w:rsidR="00BF17C6" w:rsidRPr="002F5BC6">
              <w:rPr>
                <w:sz w:val="24"/>
                <w:szCs w:val="24"/>
              </w:rPr>
              <w:t>memo</w:t>
            </w:r>
          </w:p>
        </w:tc>
      </w:tr>
      <w:tr w:rsidR="00BF17C6" w:rsidRPr="002F5BC6" w14:paraId="172D98C3" w14:textId="77777777" w:rsidTr="004C086B">
        <w:tblPrEx>
          <w:jc w:val="left"/>
        </w:tblPrEx>
        <w:tc>
          <w:tcPr>
            <w:tcW w:w="0" w:type="auto"/>
            <w:vAlign w:val="center"/>
          </w:tcPr>
          <w:p w14:paraId="017EFCAB" w14:textId="77777777" w:rsidR="00BF17C6" w:rsidRPr="002F5BC6" w:rsidRDefault="00BF17C6" w:rsidP="004C086B">
            <w:pPr>
              <w:jc w:val="center"/>
              <w:rPr>
                <w:sz w:val="24"/>
                <w:szCs w:val="24"/>
              </w:rPr>
            </w:pPr>
            <w:r w:rsidRPr="002F5BC6">
              <w:rPr>
                <w:sz w:val="24"/>
                <w:szCs w:val="24"/>
              </w:rPr>
              <w:t>#4</w:t>
            </w:r>
          </w:p>
        </w:tc>
        <w:tc>
          <w:tcPr>
            <w:tcW w:w="3935" w:type="dxa"/>
            <w:vAlign w:val="center"/>
          </w:tcPr>
          <w:p w14:paraId="7FAFD28E" w14:textId="77777777" w:rsidR="00BF17C6" w:rsidRPr="002F5BC6" w:rsidRDefault="00BF17C6" w:rsidP="004C086B">
            <w:pPr>
              <w:jc w:val="center"/>
              <w:rPr>
                <w:sz w:val="24"/>
                <w:szCs w:val="24"/>
              </w:rPr>
            </w:pPr>
            <w:r w:rsidRPr="002F5BC6">
              <w:rPr>
                <w:sz w:val="24"/>
                <w:szCs w:val="24"/>
              </w:rPr>
              <w:t>Options Memo</w:t>
            </w:r>
          </w:p>
        </w:tc>
      </w:tr>
      <w:tr w:rsidR="00BF17C6" w:rsidRPr="002F5BC6" w14:paraId="0E89BA91" w14:textId="77777777" w:rsidTr="004C086B">
        <w:tblPrEx>
          <w:jc w:val="left"/>
        </w:tblPrEx>
        <w:tc>
          <w:tcPr>
            <w:tcW w:w="0" w:type="auto"/>
            <w:vAlign w:val="center"/>
          </w:tcPr>
          <w:p w14:paraId="4B4A2391" w14:textId="77777777" w:rsidR="00BF17C6" w:rsidRPr="002F5BC6" w:rsidRDefault="00BF17C6" w:rsidP="004C086B">
            <w:pPr>
              <w:jc w:val="center"/>
              <w:rPr>
                <w:sz w:val="24"/>
                <w:szCs w:val="24"/>
              </w:rPr>
            </w:pPr>
            <w:r w:rsidRPr="002F5BC6">
              <w:rPr>
                <w:sz w:val="24"/>
                <w:szCs w:val="24"/>
              </w:rPr>
              <w:t>#5</w:t>
            </w:r>
          </w:p>
        </w:tc>
        <w:tc>
          <w:tcPr>
            <w:tcW w:w="3935" w:type="dxa"/>
            <w:vAlign w:val="center"/>
          </w:tcPr>
          <w:p w14:paraId="76434A63" w14:textId="12590545" w:rsidR="00C53D07" w:rsidRPr="002F5BC6" w:rsidRDefault="00BF17C6" w:rsidP="00C53D07">
            <w:pPr>
              <w:jc w:val="center"/>
              <w:rPr>
                <w:sz w:val="24"/>
                <w:szCs w:val="24"/>
              </w:rPr>
            </w:pPr>
            <w:r w:rsidRPr="002F5BC6">
              <w:rPr>
                <w:sz w:val="24"/>
                <w:szCs w:val="24"/>
              </w:rPr>
              <w:t>Presentation</w:t>
            </w:r>
          </w:p>
        </w:tc>
      </w:tr>
    </w:tbl>
    <w:p w14:paraId="1FD7C83E" w14:textId="77777777" w:rsidR="00BF17C6" w:rsidRPr="002F5BC6" w:rsidRDefault="00BF17C6" w:rsidP="00BF17C6"/>
    <w:p w14:paraId="2C5EEDA8" w14:textId="77777777" w:rsidR="00F305B5" w:rsidRPr="0064491B" w:rsidRDefault="00F305B5" w:rsidP="00F305B5">
      <w:pPr>
        <w:pStyle w:val="Heading2"/>
        <w:spacing w:before="0" w:after="0"/>
        <w:rPr>
          <w:sz w:val="24"/>
          <w:szCs w:val="24"/>
        </w:rPr>
      </w:pPr>
      <w:r w:rsidRPr="0064491B">
        <w:rPr>
          <w:sz w:val="24"/>
          <w:szCs w:val="24"/>
        </w:rPr>
        <w:t>Course Requirements</w:t>
      </w:r>
    </w:p>
    <w:p w14:paraId="50D022A4" w14:textId="67D8D21B" w:rsidR="00F305B5" w:rsidRPr="0064491B" w:rsidRDefault="00F305B5" w:rsidP="006B6C44">
      <w:pPr>
        <w:pStyle w:val="ListParagraph"/>
        <w:numPr>
          <w:ilvl w:val="0"/>
          <w:numId w:val="28"/>
        </w:numPr>
      </w:pPr>
      <w:r w:rsidRPr="0064491B">
        <w:t xml:space="preserve">Class participation: </w:t>
      </w:r>
      <w:r w:rsidR="006B6C44">
        <w:t>20%</w:t>
      </w:r>
    </w:p>
    <w:p w14:paraId="5BCDDAE6" w14:textId="43002EE0" w:rsidR="00F305B5" w:rsidRDefault="00F305B5" w:rsidP="006B6C44">
      <w:pPr>
        <w:pStyle w:val="ListParagraph"/>
        <w:numPr>
          <w:ilvl w:val="0"/>
          <w:numId w:val="28"/>
        </w:numPr>
      </w:pPr>
      <w:r w:rsidRPr="0064491B">
        <w:t>Op-ed: 15%</w:t>
      </w:r>
    </w:p>
    <w:p w14:paraId="3F9E81AC" w14:textId="4C22E898" w:rsidR="006B6C44" w:rsidRDefault="006B6C44" w:rsidP="006B6C44">
      <w:pPr>
        <w:pStyle w:val="ListParagraph"/>
        <w:numPr>
          <w:ilvl w:val="0"/>
          <w:numId w:val="28"/>
        </w:numPr>
      </w:pPr>
      <w:r>
        <w:t>Stakeholder Analysis: 20%</w:t>
      </w:r>
    </w:p>
    <w:p w14:paraId="7241EB01" w14:textId="6FB64B29" w:rsidR="006B6C44" w:rsidRDefault="006B6C44" w:rsidP="006B6C44">
      <w:pPr>
        <w:pStyle w:val="ListParagraph"/>
        <w:numPr>
          <w:ilvl w:val="0"/>
          <w:numId w:val="28"/>
        </w:numPr>
      </w:pPr>
      <w:r>
        <w:t>Strategy Memo: 20%</w:t>
      </w:r>
    </w:p>
    <w:p w14:paraId="3F6E4886" w14:textId="7E84B386" w:rsidR="006B6C44" w:rsidRDefault="006B6C44" w:rsidP="006B6C44">
      <w:pPr>
        <w:pStyle w:val="ListParagraph"/>
        <w:numPr>
          <w:ilvl w:val="0"/>
          <w:numId w:val="28"/>
        </w:numPr>
      </w:pPr>
      <w:r>
        <w:t>Options Memo: 20%</w:t>
      </w:r>
    </w:p>
    <w:p w14:paraId="43E81391" w14:textId="14BD1A24" w:rsidR="006B6C44" w:rsidRPr="0064491B" w:rsidRDefault="006B6C44" w:rsidP="006B6C44">
      <w:pPr>
        <w:pStyle w:val="ListParagraph"/>
        <w:numPr>
          <w:ilvl w:val="0"/>
          <w:numId w:val="28"/>
        </w:numPr>
      </w:pPr>
      <w:r>
        <w:t>Presentation: 5%</w:t>
      </w:r>
    </w:p>
    <w:p w14:paraId="35F8AA75" w14:textId="77777777" w:rsidR="00F305B5" w:rsidRPr="0064491B" w:rsidRDefault="00F305B5" w:rsidP="00F305B5">
      <w:pPr>
        <w:pStyle w:val="Heading3"/>
        <w:spacing w:before="0" w:after="0"/>
        <w:rPr>
          <w:sz w:val="24"/>
          <w:szCs w:val="24"/>
        </w:rPr>
      </w:pPr>
    </w:p>
    <w:p w14:paraId="639CEEA8" w14:textId="7F235D3F" w:rsidR="004C086B" w:rsidRPr="006B6C44" w:rsidRDefault="00F305B5" w:rsidP="004C086B">
      <w:pPr>
        <w:pStyle w:val="Heading3"/>
        <w:spacing w:before="0" w:after="0"/>
        <w:rPr>
          <w:b/>
          <w:sz w:val="24"/>
          <w:szCs w:val="24"/>
          <w:u w:val="single"/>
        </w:rPr>
      </w:pPr>
      <w:r w:rsidRPr="006B6C44">
        <w:rPr>
          <w:b/>
          <w:sz w:val="24"/>
          <w:szCs w:val="24"/>
          <w:u w:val="single"/>
        </w:rPr>
        <w:t>Class Participation</w:t>
      </w:r>
      <w:r w:rsidR="004C086B" w:rsidRPr="006B6C44">
        <w:rPr>
          <w:b/>
          <w:sz w:val="24"/>
          <w:szCs w:val="24"/>
          <w:u w:val="single"/>
        </w:rPr>
        <w:t xml:space="preserve"> (</w:t>
      </w:r>
      <w:r w:rsidR="00DB6B26" w:rsidRPr="006B6C44">
        <w:rPr>
          <w:b/>
          <w:sz w:val="24"/>
          <w:szCs w:val="24"/>
          <w:u w:val="single"/>
        </w:rPr>
        <w:t>20</w:t>
      </w:r>
      <w:r w:rsidR="004C086B" w:rsidRPr="006B6C44">
        <w:rPr>
          <w:b/>
          <w:sz w:val="24"/>
          <w:szCs w:val="24"/>
          <w:u w:val="single"/>
        </w:rPr>
        <w:t>%)</w:t>
      </w:r>
      <w:r w:rsidR="004C7A45" w:rsidRPr="006B6C44">
        <w:rPr>
          <w:b/>
          <w:sz w:val="24"/>
          <w:szCs w:val="24"/>
          <w:u w:val="single"/>
        </w:rPr>
        <w:t>:</w:t>
      </w:r>
    </w:p>
    <w:p w14:paraId="4398FE72" w14:textId="6D4DFAD7" w:rsidR="004C086B" w:rsidRPr="006B6C44" w:rsidRDefault="004C086B" w:rsidP="004C086B">
      <w:pPr>
        <w:pStyle w:val="Heading3"/>
        <w:spacing w:before="0" w:after="0"/>
        <w:rPr>
          <w:b/>
          <w:sz w:val="24"/>
          <w:szCs w:val="24"/>
        </w:rPr>
      </w:pPr>
      <w:r w:rsidRPr="006B6C44">
        <w:rPr>
          <w:b/>
          <w:sz w:val="24"/>
        </w:rPr>
        <w:t xml:space="preserve">Attendance/Discussion/Participation </w:t>
      </w:r>
    </w:p>
    <w:p w14:paraId="5F663387" w14:textId="77777777" w:rsidR="004C086B" w:rsidRDefault="004C086B" w:rsidP="004C086B">
      <w:r>
        <w:t xml:space="preserve">Our class will benefit greatly from active participation from all class members. The unique analysis and personal experiences that each of you contributes to the discussions will help educate the rest of us. Class participation consists of the following components: (1) attending class; (2) Be prepared by doing the required readings (3) engaging regularly in class discussions. </w:t>
      </w:r>
    </w:p>
    <w:p w14:paraId="0B6B2124" w14:textId="77777777" w:rsidR="00F305B5" w:rsidRPr="0064491B" w:rsidRDefault="00F305B5" w:rsidP="00F305B5">
      <w:pPr>
        <w:pStyle w:val="ListParagraph"/>
      </w:pPr>
    </w:p>
    <w:p w14:paraId="27E326F0" w14:textId="696F57F9" w:rsidR="00F305B5" w:rsidRPr="006B6C44" w:rsidRDefault="00F305B5" w:rsidP="00F305B5">
      <w:pPr>
        <w:pStyle w:val="Heading3"/>
        <w:spacing w:before="0" w:after="0"/>
        <w:rPr>
          <w:b/>
          <w:color w:val="000000" w:themeColor="text1"/>
          <w:sz w:val="24"/>
          <w:szCs w:val="24"/>
          <w:u w:val="single"/>
        </w:rPr>
      </w:pPr>
      <w:r w:rsidRPr="006B6C44">
        <w:rPr>
          <w:b/>
          <w:color w:val="000000" w:themeColor="text1"/>
          <w:sz w:val="24"/>
          <w:szCs w:val="24"/>
          <w:u w:val="single"/>
        </w:rPr>
        <w:t>Op-Ed (15%)</w:t>
      </w:r>
      <w:r w:rsidR="004C7A45" w:rsidRPr="006B6C44">
        <w:rPr>
          <w:b/>
          <w:color w:val="000000" w:themeColor="text1"/>
          <w:sz w:val="24"/>
          <w:szCs w:val="24"/>
          <w:u w:val="single"/>
        </w:rPr>
        <w:t>:</w:t>
      </w:r>
    </w:p>
    <w:p w14:paraId="18CC4601" w14:textId="34D9BC82" w:rsidR="00F305B5" w:rsidRDefault="00F305B5" w:rsidP="00F305B5">
      <w:r w:rsidRPr="0064491B">
        <w:t xml:space="preserve">One </w:t>
      </w:r>
      <w:r w:rsidR="004C7A45">
        <w:t>op-ed</w:t>
      </w:r>
      <w:r w:rsidRPr="0064491B">
        <w:t xml:space="preserve"> (typically 700-750 words, about 3 pages double-spaced) on an important current policy issue. </w:t>
      </w:r>
      <w:r w:rsidR="00BA4E8C">
        <w:t xml:space="preserve">The </w:t>
      </w:r>
      <w:r w:rsidR="004C7A45">
        <w:t xml:space="preserve">op-ed </w:t>
      </w:r>
      <w:r w:rsidR="00BA4E8C" w:rsidRPr="00BA4E8C">
        <w:t>assignment</w:t>
      </w:r>
      <w:r w:rsidR="00C53D07">
        <w:t xml:space="preserve"> will be discussed</w:t>
      </w:r>
      <w:r w:rsidR="00BA4E8C" w:rsidRPr="00BA4E8C">
        <w:t xml:space="preserve"> in your recitation section. This includes the </w:t>
      </w:r>
      <w:r w:rsidR="004C7A45">
        <w:t>op-ed</w:t>
      </w:r>
      <w:r w:rsidR="00BA4E8C" w:rsidRPr="00BA4E8C">
        <w:t xml:space="preserve"> prompt and </w:t>
      </w:r>
      <w:r w:rsidR="004C7A45">
        <w:t>r</w:t>
      </w:r>
      <w:r w:rsidR="00BA4E8C" w:rsidRPr="00BA4E8C">
        <w:t xml:space="preserve">ubric, </w:t>
      </w:r>
      <w:r w:rsidR="00C53D07">
        <w:t xml:space="preserve">and </w:t>
      </w:r>
      <w:r w:rsidR="00BA4E8C" w:rsidRPr="00BA4E8C">
        <w:t xml:space="preserve">the op-ed project submission </w:t>
      </w:r>
      <w:r w:rsidR="00C53D07">
        <w:t>information. T</w:t>
      </w:r>
      <w:r w:rsidR="00BA4E8C" w:rsidRPr="00BA4E8C">
        <w:t>he due dates and deliverables for the op-eds are dependent on your recitation schedule.</w:t>
      </w:r>
    </w:p>
    <w:p w14:paraId="47A9F875" w14:textId="77777777" w:rsidR="004C7A45" w:rsidRDefault="004C7A45" w:rsidP="004C7A45">
      <w:pPr>
        <w:rPr>
          <w:b/>
        </w:rPr>
      </w:pPr>
    </w:p>
    <w:p w14:paraId="15EED357" w14:textId="28F566A4" w:rsidR="004C7A45" w:rsidRPr="006B6C44" w:rsidRDefault="004C7A45" w:rsidP="004C7A45">
      <w:pPr>
        <w:rPr>
          <w:b/>
          <w:u w:val="single"/>
        </w:rPr>
      </w:pPr>
      <w:r w:rsidRPr="006B6C44">
        <w:rPr>
          <w:b/>
          <w:u w:val="single"/>
        </w:rPr>
        <w:t>Stakeholder Analysis (20%), Options Memo (20%), and Strategy Memo (20%):</w:t>
      </w:r>
    </w:p>
    <w:p w14:paraId="2909EDB5" w14:textId="637A10AF" w:rsidR="00BA4E8C" w:rsidRPr="004C7A45" w:rsidRDefault="004C7A45" w:rsidP="004C7A45">
      <w:r w:rsidRPr="004C7A45">
        <w:t>These three assignments comprise a semester-long focus on a single policy topic. We will discuss in greater detail in class</w:t>
      </w:r>
      <w:r>
        <w:t xml:space="preserve"> and in your recitations. </w:t>
      </w:r>
      <w:r w:rsidRPr="004C7A45">
        <w:t xml:space="preserve">Students will be able to choose their own policy topic within </w:t>
      </w:r>
      <w:r>
        <w:t>the</w:t>
      </w:r>
      <w:r w:rsidRPr="004C7A45">
        <w:t xml:space="preserve"> </w:t>
      </w:r>
      <w:r w:rsidR="00DB6B26">
        <w:t xml:space="preserve">following </w:t>
      </w:r>
      <w:r w:rsidRPr="004C7A45">
        <w:t xml:space="preserve">broad issues areas </w:t>
      </w:r>
      <w:r>
        <w:t>of U.S. domestic policy</w:t>
      </w:r>
      <w:r w:rsidR="00DB6B26">
        <w:t xml:space="preserve">: education, criminal justice, poverty, inequality, housing, and immigration. </w:t>
      </w:r>
      <w:r w:rsidRPr="004C7A45">
        <w:t>If there is a compelling reason to choose a topic outside of these issue areas, please let me know.</w:t>
      </w:r>
    </w:p>
    <w:p w14:paraId="568EEA8C" w14:textId="07942660" w:rsidR="00C53D07" w:rsidRDefault="00C53D07" w:rsidP="00F305B5">
      <w:pPr>
        <w:rPr>
          <w:b/>
        </w:rPr>
      </w:pPr>
    </w:p>
    <w:p w14:paraId="2C56B6D4" w14:textId="5966F199" w:rsidR="00DB6B26" w:rsidRPr="006B6C44" w:rsidRDefault="00DB6B26" w:rsidP="00DB6B26">
      <w:pPr>
        <w:rPr>
          <w:b/>
          <w:u w:val="single"/>
        </w:rPr>
      </w:pPr>
      <w:r w:rsidRPr="006B6C44">
        <w:rPr>
          <w:b/>
          <w:u w:val="single"/>
        </w:rPr>
        <w:t>Client Presentation (5%):</w:t>
      </w:r>
    </w:p>
    <w:p w14:paraId="15B0B1C5" w14:textId="77777777" w:rsidR="00DB6B26" w:rsidRPr="00DB6B26" w:rsidRDefault="00DB6B26" w:rsidP="00DB6B26">
      <w:r w:rsidRPr="00DB6B26">
        <w:t>Students will (1) attend a workshop or training on creating client presentations, (2) submit a</w:t>
      </w:r>
    </w:p>
    <w:p w14:paraId="58E8373C" w14:textId="705AF0B7" w:rsidR="00F305B5" w:rsidRPr="0064491B" w:rsidRDefault="00DB6B26" w:rsidP="006B6C44">
      <w:r w:rsidRPr="00DB6B26">
        <w:t xml:space="preserve"> PowerPoint slide deck regarding the Student’s Options Memo, and (3) present the slide deck in recitation. The workshop/training will occur outside of lecture/recitation. Details will be provided in recitation.</w:t>
      </w:r>
    </w:p>
    <w:p w14:paraId="50416B8F" w14:textId="77777777" w:rsidR="00167529" w:rsidRPr="00F17353" w:rsidRDefault="00167529" w:rsidP="00167529">
      <w:pPr>
        <w:pStyle w:val="Heading2"/>
      </w:pPr>
      <w:r w:rsidRPr="00F17353">
        <w:lastRenderedPageBreak/>
        <w:t>Academic Integrity</w:t>
      </w:r>
    </w:p>
    <w:p w14:paraId="78C839F7" w14:textId="00DE6404" w:rsidR="00167529" w:rsidRDefault="00167529" w:rsidP="00167529">
      <w:r w:rsidRPr="00A65331">
        <w:t xml:space="preserve">Academic integrity is a vital component of Wagner and NYU. All students enrolled in this class are required to read and abide by </w:t>
      </w:r>
      <w:hyperlink r:id="rId8" w:tgtFrame="_blank" w:history="1">
        <w:r w:rsidRPr="00A65331">
          <w:rPr>
            <w:rStyle w:val="Hyperlink"/>
          </w:rPr>
          <w:t>Wagner’s Academic Code</w:t>
        </w:r>
      </w:hyperlink>
      <w:r w:rsidRPr="00A65331">
        <w:t>. All Wagner students have already read and signed the </w:t>
      </w:r>
      <w:hyperlink r:id="rId9" w:tgtFrame="_blank" w:history="1">
        <w:r w:rsidRPr="00A65331">
          <w:rPr>
            <w:rStyle w:val="Hyperlink"/>
          </w:rPr>
          <w:t>Wagner Academic Oath</w:t>
        </w:r>
      </w:hyperlink>
      <w:r w:rsidRPr="00A65331">
        <w:t xml:space="preserve">. </w:t>
      </w:r>
      <w:r w:rsidRPr="00A65331">
        <w:rPr>
          <w:color w:val="222222"/>
          <w:shd w:val="clear" w:color="auto" w:fill="FFFFFF"/>
        </w:rPr>
        <w:t>Plagiarism of any form will not be tolerated and students in this class are expected to report violations to me. </w:t>
      </w:r>
      <w:r w:rsidRPr="00A65331">
        <w:t>If any student in this class is unsure about what is expected of you and how to abide by the academic code, you should consult with me.</w:t>
      </w:r>
    </w:p>
    <w:p w14:paraId="6EAF9024" w14:textId="6039B91A" w:rsidR="00237CF2" w:rsidRDefault="00237CF2" w:rsidP="00167529"/>
    <w:p w14:paraId="48545ABD" w14:textId="4FC1F706" w:rsidR="00DE321A" w:rsidRPr="00DE321A" w:rsidRDefault="00DE321A" w:rsidP="00DE321A">
      <w:pPr>
        <w:pStyle w:val="ListParagraph"/>
        <w:numPr>
          <w:ilvl w:val="0"/>
          <w:numId w:val="38"/>
        </w:numPr>
        <w:rPr>
          <w:b/>
          <w:u w:val="single"/>
        </w:rPr>
      </w:pPr>
      <w:r w:rsidRPr="00DE321A">
        <w:rPr>
          <w:b/>
        </w:rPr>
        <w:t>Use of Generative AI in Assignments</w:t>
      </w:r>
    </w:p>
    <w:p w14:paraId="6729EBFC" w14:textId="77777777" w:rsidR="00DE321A" w:rsidRDefault="00DE321A" w:rsidP="00DE321A"/>
    <w:p w14:paraId="4E4F0EE5" w14:textId="77777777" w:rsidR="00DE321A" w:rsidRDefault="00DE321A" w:rsidP="00DE321A">
      <w:r>
        <w:t>This policy course is designed to help you explore topics you are passionate about using various policy-making tools and ideas. We value and prioritize your original work and thought leadership that provides appropriate credit to any sources used.</w:t>
      </w:r>
    </w:p>
    <w:p w14:paraId="1893876D" w14:textId="77777777" w:rsidR="00DE321A" w:rsidRDefault="00DE321A" w:rsidP="00DE321A"/>
    <w:p w14:paraId="34ED5D81" w14:textId="77777777" w:rsidR="00DE321A" w:rsidRDefault="00DE321A" w:rsidP="00DE321A">
      <w:r>
        <w:t xml:space="preserve">Generative AI can be a helpful tool for researching, improving grammar, formatting, language enhancement, vocabulary guidance, and paraphrasing. Its use for these purposes is permissible. However, using AI to directly copy and paste assignment prompts or to generate work without substantial input from your individual insight, original thoughts, and opinions, is not allowed. </w:t>
      </w:r>
    </w:p>
    <w:p w14:paraId="6A9F927A" w14:textId="77777777" w:rsidR="00DE321A" w:rsidRDefault="00DE321A" w:rsidP="00DE321A"/>
    <w:p w14:paraId="49FB33B1" w14:textId="1128F083" w:rsidR="00DE321A" w:rsidRDefault="00DE321A" w:rsidP="00DE321A">
      <w:r>
        <w:t>While we acknowledge the responsible use of AI, please note that if you misuse generative AI resources, it will be addressed appropriately to maintain academic integrity.</w:t>
      </w:r>
    </w:p>
    <w:p w14:paraId="0A3C9EA7" w14:textId="77777777" w:rsidR="00DE321A" w:rsidRDefault="00DE321A" w:rsidP="00DE321A"/>
    <w:p w14:paraId="217F01C6" w14:textId="06C337B4" w:rsidR="00237CF2" w:rsidRPr="00A65331" w:rsidRDefault="00DE321A" w:rsidP="00DE321A">
      <w:r>
        <w:t>As with any other class work generated by anyone other than you (by published authors, by other students, or by using generative AI tools), the use of AI in this course requires proper citation. The use of generative AI without appropriate references will be a violation of this course’s Academic Integrity policy.</w:t>
      </w:r>
    </w:p>
    <w:p w14:paraId="3464C3F3" w14:textId="77777777" w:rsidR="00167529" w:rsidRPr="00F17353" w:rsidRDefault="00167529" w:rsidP="00167529">
      <w:pPr>
        <w:pStyle w:val="Heading2"/>
      </w:pPr>
      <w:r w:rsidRPr="00F17353">
        <w:t>Henry and Lucy Moses Center for Student Accessibility</w:t>
      </w:r>
    </w:p>
    <w:p w14:paraId="18BE07A3" w14:textId="77777777" w:rsidR="00167529" w:rsidRPr="00A65331" w:rsidRDefault="00167529" w:rsidP="00167529">
      <w:r w:rsidRPr="00A65331">
        <w:t xml:space="preserve">Academic accommodations are available for students with disabilities.  Please visit the </w:t>
      </w:r>
      <w:hyperlink r:id="rId10" w:tgtFrame="_blank" w:history="1">
        <w:r w:rsidRPr="00A65331">
          <w:rPr>
            <w:rStyle w:val="Hyperlink"/>
          </w:rPr>
          <w:t>Moses Center for Students with Disabilities (CSD) website</w:t>
        </w:r>
      </w:hyperlink>
      <w:r w:rsidRPr="00A65331">
        <w:t xml:space="preserve"> </w:t>
      </w:r>
      <w:r w:rsidRPr="00A65331">
        <w:rPr>
          <w:bCs/>
        </w:rPr>
        <w:t>and click the “Get Started” button. You can also call or email CSD</w:t>
      </w:r>
      <w:r w:rsidRPr="00A65331">
        <w:rPr>
          <w:b/>
          <w:bCs/>
        </w:rPr>
        <w:t xml:space="preserve"> </w:t>
      </w:r>
      <w:r w:rsidRPr="00A65331">
        <w:t xml:space="preserve">(212-998-4980 or </w:t>
      </w:r>
      <w:hyperlink r:id="rId11" w:tgtFrame="_blank" w:tooltip="mailto:mosescsd@nyu.edu" w:history="1">
        <w:r w:rsidRPr="00A65331">
          <w:rPr>
            <w:rStyle w:val="Hyperlink"/>
          </w:rPr>
          <w:t>mosescsd@nyu.edu</w:t>
        </w:r>
      </w:hyperlink>
      <w:r w:rsidRPr="00A65331">
        <w:t>) for information. Students who are requesting academic accommodations are strongly advised to reach out to the Moses Center as early as possible in the semester for assistance.</w:t>
      </w:r>
    </w:p>
    <w:p w14:paraId="4D37C132" w14:textId="77777777" w:rsidR="00167529" w:rsidRPr="00F17353" w:rsidRDefault="00167529" w:rsidP="00167529">
      <w:pPr>
        <w:pStyle w:val="Heading2"/>
      </w:pPr>
      <w:r w:rsidRPr="00F17353">
        <w:t>NYU’s Calendar Policy on Religious Holidays</w:t>
      </w:r>
    </w:p>
    <w:p w14:paraId="6EFB71DB" w14:textId="77777777" w:rsidR="00167529" w:rsidRPr="00A65331" w:rsidRDefault="00185D2A" w:rsidP="00167529">
      <w:pPr>
        <w:pStyle w:val="NormalWeb"/>
        <w:spacing w:before="0" w:beforeAutospacing="0" w:after="0" w:afterAutospacing="0" w:line="276" w:lineRule="auto"/>
      </w:pPr>
      <w:hyperlink r:id="rId12" w:history="1">
        <w:r w:rsidR="00167529" w:rsidRPr="00A65331">
          <w:rPr>
            <w:rStyle w:val="Hyperlink"/>
          </w:rPr>
          <w:t>NYU’s Calendar Policy on Religious Holidays</w:t>
        </w:r>
      </w:hyperlink>
      <w:r w:rsidR="00167529" w:rsidRPr="00A65331">
        <w:t xml:space="preserve"> states that members of any religious group may, without penalty, absent themselves from classes when required in compliance with their religious obligations. You must notify me in advance of religious holidays or observances that might coincide with exams, assignments, or class times to schedule mutually acceptable alternatives. Students may also contact </w:t>
      </w:r>
      <w:hyperlink r:id="rId13" w:history="1">
        <w:r w:rsidR="00167529" w:rsidRPr="00A65331">
          <w:rPr>
            <w:rStyle w:val="Hyperlink"/>
          </w:rPr>
          <w:t>religiousaccommodations@nyu.edu</w:t>
        </w:r>
      </w:hyperlink>
      <w:r w:rsidR="00167529" w:rsidRPr="00A65331">
        <w:t> for assistance.</w:t>
      </w:r>
    </w:p>
    <w:p w14:paraId="3F4BBE78" w14:textId="37820920" w:rsidR="00167529" w:rsidRPr="00F17353" w:rsidRDefault="00167529" w:rsidP="00167529">
      <w:pPr>
        <w:pStyle w:val="Heading2"/>
      </w:pPr>
      <w:r w:rsidRPr="00F17353">
        <w:lastRenderedPageBreak/>
        <w:t>NYU’s Wellness Exchange</w:t>
      </w:r>
    </w:p>
    <w:p w14:paraId="57D6C840" w14:textId="77777777" w:rsidR="00167529" w:rsidRPr="00A65331" w:rsidRDefault="00185D2A" w:rsidP="00167529">
      <w:pPr>
        <w:pStyle w:val="NormalWeb"/>
        <w:spacing w:before="0" w:beforeAutospacing="0" w:after="0" w:afterAutospacing="0" w:line="276" w:lineRule="auto"/>
      </w:pPr>
      <w:hyperlink r:id="rId14" w:history="1">
        <w:r w:rsidR="00167529" w:rsidRPr="00A65331">
          <w:rPr>
            <w:rStyle w:val="Hyperlink"/>
          </w:rPr>
          <w:t>NYU’s Wellness Exchange</w:t>
        </w:r>
      </w:hyperlink>
      <w:r w:rsidR="00167529" w:rsidRPr="00A65331">
        <w:t xml:space="preserve"> has extensive student health and mental health resources. A private hotline (212-443-9999) is available 24/7 that connects students with a professional who can help them address day-to-day challenges as well as other health-related concerns.</w:t>
      </w:r>
    </w:p>
    <w:p w14:paraId="65CD241A" w14:textId="77777777" w:rsidR="00167529" w:rsidRPr="00F17353" w:rsidRDefault="00167529" w:rsidP="00167529">
      <w:pPr>
        <w:pStyle w:val="NormalWeb"/>
        <w:spacing w:before="0" w:beforeAutospacing="0" w:after="0" w:afterAutospacing="0" w:line="276" w:lineRule="auto"/>
        <w:rPr>
          <w:sz w:val="22"/>
          <w:szCs w:val="22"/>
        </w:rPr>
      </w:pPr>
    </w:p>
    <w:p w14:paraId="09EEE605" w14:textId="77777777" w:rsidR="00167529" w:rsidRPr="00F17353" w:rsidRDefault="00167529" w:rsidP="00167529">
      <w:pPr>
        <w:pStyle w:val="NormalWeb"/>
        <w:spacing w:before="0" w:beforeAutospacing="0" w:after="0" w:afterAutospacing="0"/>
        <w:rPr>
          <w:b/>
          <w:sz w:val="32"/>
          <w:szCs w:val="22"/>
        </w:rPr>
      </w:pPr>
      <w:r w:rsidRPr="00F17353">
        <w:rPr>
          <w:b/>
          <w:sz w:val="32"/>
          <w:szCs w:val="22"/>
        </w:rPr>
        <w:t>Wagner Writing Center</w:t>
      </w:r>
    </w:p>
    <w:p w14:paraId="2340C2EE" w14:textId="0682ED72" w:rsidR="00D16EDB" w:rsidRPr="00D16EDB" w:rsidRDefault="00167529" w:rsidP="00D16EDB">
      <w:pPr>
        <w:pStyle w:val="NormalWeb"/>
        <w:spacing w:before="0" w:beforeAutospacing="0" w:after="0" w:afterAutospacing="0"/>
        <w:rPr>
          <w:sz w:val="22"/>
          <w:szCs w:val="22"/>
        </w:rPr>
      </w:pPr>
      <w:r w:rsidRPr="00F17353">
        <w:rPr>
          <w:sz w:val="22"/>
          <w:szCs w:val="22"/>
        </w:rPr>
        <w:t xml:space="preserve">For students interested in receiving additional feedback and support for their writing assignments, please visit the </w:t>
      </w:r>
      <w:hyperlink r:id="rId15" w:history="1">
        <w:r w:rsidRPr="00F17353">
          <w:rPr>
            <w:rStyle w:val="Hyperlink"/>
            <w:sz w:val="22"/>
            <w:szCs w:val="22"/>
          </w:rPr>
          <w:t>Wagner Writing Center</w:t>
        </w:r>
      </w:hyperlink>
      <w:r w:rsidRPr="00F17353">
        <w:rPr>
          <w:sz w:val="22"/>
          <w:szCs w:val="22"/>
        </w:rPr>
        <w:t xml:space="preserve"> or the </w:t>
      </w:r>
      <w:hyperlink r:id="rId16" w:history="1">
        <w:r w:rsidRPr="00F17353">
          <w:rPr>
            <w:rStyle w:val="Hyperlink"/>
            <w:sz w:val="22"/>
            <w:szCs w:val="22"/>
          </w:rPr>
          <w:t>NYU Writing Center</w:t>
        </w:r>
      </w:hyperlink>
      <w:r w:rsidRPr="00F17353">
        <w:rPr>
          <w:sz w:val="22"/>
          <w:szCs w:val="22"/>
        </w:rPr>
        <w:t xml:space="preserve">. </w:t>
      </w:r>
    </w:p>
    <w:p w14:paraId="13C0DEB8" w14:textId="77777777" w:rsidR="00D16EDB" w:rsidRDefault="00D16EDB" w:rsidP="00FD3D9E">
      <w:pPr>
        <w:pStyle w:val="Heading2"/>
        <w:spacing w:after="0"/>
        <w:rPr>
          <w:bCs/>
          <w:sz w:val="28"/>
          <w:szCs w:val="28"/>
        </w:rPr>
      </w:pPr>
    </w:p>
    <w:p w14:paraId="6D51E308" w14:textId="5C3C6378" w:rsidR="00BF17C6" w:rsidRDefault="00BF17C6" w:rsidP="00FD3D9E">
      <w:pPr>
        <w:pStyle w:val="Heading2"/>
        <w:spacing w:after="0"/>
        <w:rPr>
          <w:bCs/>
          <w:sz w:val="28"/>
          <w:szCs w:val="28"/>
        </w:rPr>
      </w:pPr>
      <w:r w:rsidRPr="006B6C44">
        <w:rPr>
          <w:bCs/>
          <w:sz w:val="28"/>
          <w:szCs w:val="28"/>
        </w:rPr>
        <w:t>Required Texts</w:t>
      </w:r>
    </w:p>
    <w:p w14:paraId="5B158BE6" w14:textId="77777777" w:rsidR="00FD3D9E" w:rsidRPr="00FD3D9E" w:rsidRDefault="00FD3D9E" w:rsidP="00FD3D9E"/>
    <w:p w14:paraId="302C9740" w14:textId="45738661" w:rsidR="00BF17C6" w:rsidRPr="002F5BC6" w:rsidRDefault="00047785" w:rsidP="00BF17C6">
      <w:r w:rsidRPr="00047785">
        <w:t>Birkland, Thomas. 2</w:t>
      </w:r>
      <w:r w:rsidR="00694355">
        <w:t>020</w:t>
      </w:r>
      <w:r w:rsidRPr="00047785">
        <w:t>. An Introduction to the Policy Process: Theories, Concepts, and Models of Public Policymaking</w:t>
      </w:r>
      <w:r w:rsidR="00694355">
        <w:t>.</w:t>
      </w:r>
      <w:r w:rsidRPr="00047785">
        <w:t xml:space="preserve"> Armonk, NY: M.E. Sharpe, Inc.</w:t>
      </w:r>
      <w:r w:rsidR="00694355">
        <w:t xml:space="preserve"> (Available online – NYU Library)</w:t>
      </w:r>
    </w:p>
    <w:p w14:paraId="4C47858F" w14:textId="77777777" w:rsidR="00047785" w:rsidRDefault="00047785" w:rsidP="00BF17C6"/>
    <w:p w14:paraId="3C0B3707" w14:textId="6A84F722" w:rsidR="00FD3D9E" w:rsidRDefault="00BF17C6" w:rsidP="00BF17C6">
      <w:r w:rsidRPr="002F5BC6">
        <w:t>All other readings available on Brightspace unless otherwise indicated. There will be a small fee associated with some of the cases we will discuss in class.</w:t>
      </w:r>
    </w:p>
    <w:p w14:paraId="33765DBF" w14:textId="77777777" w:rsidR="00185D2A" w:rsidRDefault="00185D2A" w:rsidP="00FD3D9E">
      <w:pPr>
        <w:jc w:val="center"/>
        <w:rPr>
          <w:b/>
          <w:sz w:val="36"/>
        </w:rPr>
      </w:pPr>
    </w:p>
    <w:p w14:paraId="4BB7DF24" w14:textId="77777777" w:rsidR="00185D2A" w:rsidRDefault="00185D2A" w:rsidP="00FD3D9E">
      <w:pPr>
        <w:jc w:val="center"/>
        <w:rPr>
          <w:b/>
          <w:sz w:val="36"/>
        </w:rPr>
      </w:pPr>
    </w:p>
    <w:p w14:paraId="748D0015" w14:textId="5EF72E4B" w:rsidR="00FD3D9E" w:rsidRPr="00FD3D9E" w:rsidRDefault="00FD3D9E" w:rsidP="00FD3D9E">
      <w:pPr>
        <w:jc w:val="center"/>
        <w:rPr>
          <w:b/>
          <w:sz w:val="36"/>
        </w:rPr>
      </w:pPr>
      <w:r w:rsidRPr="00FD3D9E">
        <w:rPr>
          <w:b/>
          <w:sz w:val="36"/>
        </w:rPr>
        <w:t>Course Schedule</w:t>
      </w:r>
    </w:p>
    <w:p w14:paraId="0EE1A6CA" w14:textId="191ED32F" w:rsidR="00BF17C6" w:rsidRPr="002F5BC6" w:rsidRDefault="00BF17C6" w:rsidP="00213389">
      <w:pPr>
        <w:pBdr>
          <w:top w:val="nil"/>
          <w:left w:val="nil"/>
          <w:bottom w:val="nil"/>
          <w:right w:val="nil"/>
          <w:between w:val="nil"/>
        </w:pBdr>
      </w:pPr>
    </w:p>
    <w:tbl>
      <w:tblPr>
        <w:tblStyle w:val="TableGrid2"/>
        <w:tblW w:w="10080" w:type="dxa"/>
        <w:tblBorders>
          <w:left w:val="none" w:sz="0" w:space="0" w:color="auto"/>
          <w:right w:val="none" w:sz="0" w:space="0" w:color="auto"/>
        </w:tblBorders>
        <w:tblLayout w:type="fixed"/>
        <w:tblLook w:val="04A0" w:firstRow="1" w:lastRow="0" w:firstColumn="1" w:lastColumn="0" w:noHBand="0" w:noVBand="1"/>
      </w:tblPr>
      <w:tblGrid>
        <w:gridCol w:w="1980"/>
        <w:gridCol w:w="8100"/>
      </w:tblGrid>
      <w:tr w:rsidR="006B6C44" w:rsidRPr="006B6C44" w14:paraId="7B050939" w14:textId="77777777" w:rsidTr="006B6C44">
        <w:tc>
          <w:tcPr>
            <w:tcW w:w="1980" w:type="dxa"/>
            <w:shd w:val="clear" w:color="auto" w:fill="BFBFBF" w:themeFill="background1" w:themeFillShade="BF"/>
          </w:tcPr>
          <w:p w14:paraId="0F4DDEF6" w14:textId="77777777" w:rsidR="006B6C44" w:rsidRPr="006B6C44" w:rsidRDefault="006B6C44" w:rsidP="006B6C44">
            <w:pPr>
              <w:spacing w:line="276" w:lineRule="auto"/>
              <w:jc w:val="center"/>
              <w:rPr>
                <w:rFonts w:eastAsia="Arial"/>
                <w:b/>
                <w:sz w:val="24"/>
                <w:szCs w:val="24"/>
              </w:rPr>
            </w:pPr>
            <w:r w:rsidRPr="006B6C44">
              <w:rPr>
                <w:rFonts w:eastAsia="Arial"/>
                <w:b/>
                <w:sz w:val="24"/>
                <w:szCs w:val="24"/>
              </w:rPr>
              <w:t>Date</w:t>
            </w:r>
          </w:p>
        </w:tc>
        <w:tc>
          <w:tcPr>
            <w:tcW w:w="8100" w:type="dxa"/>
            <w:shd w:val="clear" w:color="auto" w:fill="BFBFBF" w:themeFill="background1" w:themeFillShade="BF"/>
          </w:tcPr>
          <w:p w14:paraId="396F39B1" w14:textId="77777777" w:rsidR="006B6C44" w:rsidRPr="006B6C44" w:rsidRDefault="006B6C44" w:rsidP="006B6C44">
            <w:pPr>
              <w:spacing w:line="276" w:lineRule="auto"/>
              <w:jc w:val="center"/>
              <w:rPr>
                <w:rFonts w:eastAsia="Arial"/>
                <w:b/>
                <w:sz w:val="24"/>
                <w:szCs w:val="24"/>
              </w:rPr>
            </w:pPr>
            <w:r w:rsidRPr="006B6C44">
              <w:rPr>
                <w:rFonts w:eastAsia="Arial"/>
                <w:b/>
                <w:sz w:val="24"/>
                <w:szCs w:val="24"/>
              </w:rPr>
              <w:t>Topic and Readings</w:t>
            </w:r>
          </w:p>
        </w:tc>
      </w:tr>
      <w:tr w:rsidR="006B6C44" w:rsidRPr="006B6C44" w14:paraId="41E73FC5" w14:textId="77777777" w:rsidTr="00201752">
        <w:tc>
          <w:tcPr>
            <w:tcW w:w="1980" w:type="dxa"/>
          </w:tcPr>
          <w:p w14:paraId="0AD7B96A" w14:textId="3F69F4EB" w:rsidR="006B6C44" w:rsidRPr="006B6C44" w:rsidRDefault="006B6C44" w:rsidP="006B6C44">
            <w:pPr>
              <w:spacing w:line="276" w:lineRule="auto"/>
              <w:rPr>
                <w:rFonts w:eastAsia="Arial"/>
                <w:sz w:val="24"/>
                <w:szCs w:val="24"/>
              </w:rPr>
            </w:pPr>
            <w:r w:rsidRPr="006B6C44">
              <w:rPr>
                <w:rFonts w:eastAsia="Arial"/>
                <w:sz w:val="24"/>
                <w:szCs w:val="24"/>
              </w:rPr>
              <w:t>September 1</w:t>
            </w:r>
            <w:r w:rsidR="006901F7">
              <w:rPr>
                <w:rFonts w:eastAsia="Arial"/>
                <w:sz w:val="24"/>
                <w:szCs w:val="24"/>
              </w:rPr>
              <w:t>2</w:t>
            </w:r>
          </w:p>
        </w:tc>
        <w:tc>
          <w:tcPr>
            <w:tcW w:w="8100" w:type="dxa"/>
          </w:tcPr>
          <w:p w14:paraId="78FCFEEE" w14:textId="77777777" w:rsidR="006B6C44" w:rsidRDefault="00523696" w:rsidP="00523696">
            <w:pPr>
              <w:spacing w:line="276" w:lineRule="auto"/>
              <w:contextualSpacing/>
              <w:rPr>
                <w:rFonts w:eastAsia="Arial"/>
                <w:b/>
                <w:sz w:val="24"/>
                <w:szCs w:val="24"/>
              </w:rPr>
            </w:pPr>
            <w:r w:rsidRPr="006B6C44">
              <w:rPr>
                <w:rFonts w:eastAsia="Arial"/>
                <w:b/>
                <w:sz w:val="24"/>
                <w:szCs w:val="24"/>
              </w:rPr>
              <w:t>Course Introduction</w:t>
            </w:r>
          </w:p>
          <w:p w14:paraId="286B92B0" w14:textId="67DBDEBE" w:rsidR="00D16EDB" w:rsidRPr="006B6C44" w:rsidRDefault="00D16EDB" w:rsidP="00523696">
            <w:pPr>
              <w:spacing w:line="276" w:lineRule="auto"/>
              <w:contextualSpacing/>
              <w:rPr>
                <w:rFonts w:eastAsia="Arial"/>
                <w:sz w:val="24"/>
                <w:szCs w:val="24"/>
              </w:rPr>
            </w:pPr>
          </w:p>
        </w:tc>
      </w:tr>
      <w:tr w:rsidR="006B6C44" w:rsidRPr="006B6C44" w14:paraId="6358FF02" w14:textId="77777777" w:rsidTr="00201752">
        <w:tc>
          <w:tcPr>
            <w:tcW w:w="1980" w:type="dxa"/>
          </w:tcPr>
          <w:p w14:paraId="5F8648E3" w14:textId="4D94E16F" w:rsidR="006B6C44" w:rsidRPr="006B6C44" w:rsidRDefault="006B6C44" w:rsidP="006B6C44">
            <w:pPr>
              <w:spacing w:line="276" w:lineRule="auto"/>
              <w:rPr>
                <w:rFonts w:eastAsia="Arial"/>
                <w:sz w:val="24"/>
                <w:szCs w:val="24"/>
              </w:rPr>
            </w:pPr>
            <w:r w:rsidRPr="006B6C44">
              <w:rPr>
                <w:rFonts w:eastAsia="Arial"/>
                <w:sz w:val="24"/>
                <w:szCs w:val="24"/>
              </w:rPr>
              <w:t xml:space="preserve">September </w:t>
            </w:r>
            <w:r w:rsidR="006901F7">
              <w:rPr>
                <w:rFonts w:eastAsia="Arial"/>
                <w:sz w:val="24"/>
                <w:szCs w:val="24"/>
              </w:rPr>
              <w:t>19</w:t>
            </w:r>
          </w:p>
        </w:tc>
        <w:tc>
          <w:tcPr>
            <w:tcW w:w="8100" w:type="dxa"/>
          </w:tcPr>
          <w:p w14:paraId="50A02538" w14:textId="77777777" w:rsidR="00523696" w:rsidRPr="006B6C44" w:rsidRDefault="00523696" w:rsidP="00523696">
            <w:pPr>
              <w:spacing w:line="276" w:lineRule="auto"/>
              <w:rPr>
                <w:rFonts w:eastAsia="Arial"/>
                <w:b/>
                <w:sz w:val="24"/>
                <w:szCs w:val="24"/>
              </w:rPr>
            </w:pPr>
            <w:r w:rsidRPr="006B6C44">
              <w:rPr>
                <w:rFonts w:eastAsia="Arial"/>
                <w:b/>
                <w:sz w:val="24"/>
                <w:szCs w:val="24"/>
              </w:rPr>
              <w:t xml:space="preserve">What is Public Policy? </w:t>
            </w:r>
          </w:p>
          <w:p w14:paraId="2AC0AF09" w14:textId="77777777" w:rsidR="00523696" w:rsidRPr="006B6C44" w:rsidRDefault="00523696" w:rsidP="00523696">
            <w:pPr>
              <w:numPr>
                <w:ilvl w:val="0"/>
                <w:numId w:val="30"/>
              </w:numPr>
              <w:spacing w:line="276" w:lineRule="auto"/>
              <w:contextualSpacing/>
              <w:rPr>
                <w:rFonts w:eastAsia="Arial"/>
                <w:sz w:val="24"/>
                <w:szCs w:val="24"/>
              </w:rPr>
            </w:pPr>
            <w:r w:rsidRPr="006B6C44">
              <w:rPr>
                <w:rFonts w:eastAsia="Arial"/>
                <w:sz w:val="24"/>
                <w:szCs w:val="24"/>
              </w:rPr>
              <w:t xml:space="preserve">Birkland, </w:t>
            </w:r>
            <w:r w:rsidRPr="006B6C44">
              <w:rPr>
                <w:rFonts w:eastAsia="Arial"/>
                <w:i/>
                <w:sz w:val="24"/>
                <w:szCs w:val="24"/>
              </w:rPr>
              <w:t>Policy Process</w:t>
            </w:r>
            <w:r w:rsidRPr="006B6C44">
              <w:rPr>
                <w:rFonts w:eastAsia="Arial"/>
                <w:sz w:val="24"/>
                <w:szCs w:val="24"/>
              </w:rPr>
              <w:t>, Chapters 1 and 2</w:t>
            </w:r>
          </w:p>
          <w:p w14:paraId="5E5AFAEB" w14:textId="77777777" w:rsidR="006B6C44" w:rsidRPr="006B6C44" w:rsidRDefault="006B6C44" w:rsidP="00523696">
            <w:pPr>
              <w:spacing w:line="276" w:lineRule="auto"/>
              <w:contextualSpacing/>
              <w:rPr>
                <w:rFonts w:eastAsia="Arial"/>
                <w:sz w:val="24"/>
                <w:szCs w:val="24"/>
              </w:rPr>
            </w:pPr>
          </w:p>
        </w:tc>
      </w:tr>
      <w:tr w:rsidR="006B6C44" w:rsidRPr="006B6C44" w14:paraId="0A3D91D4" w14:textId="77777777" w:rsidTr="00201752">
        <w:tc>
          <w:tcPr>
            <w:tcW w:w="1980" w:type="dxa"/>
          </w:tcPr>
          <w:p w14:paraId="683BD04F" w14:textId="08862E2F" w:rsidR="006B6C44" w:rsidRPr="006B6C44" w:rsidRDefault="006B6C44" w:rsidP="006B6C44">
            <w:pPr>
              <w:spacing w:line="276" w:lineRule="auto"/>
              <w:rPr>
                <w:rFonts w:eastAsia="Arial"/>
                <w:sz w:val="24"/>
                <w:szCs w:val="24"/>
              </w:rPr>
            </w:pPr>
            <w:r w:rsidRPr="006B6C44">
              <w:rPr>
                <w:rFonts w:eastAsia="Arial"/>
                <w:sz w:val="24"/>
                <w:szCs w:val="24"/>
              </w:rPr>
              <w:t>September 2</w:t>
            </w:r>
            <w:r w:rsidR="006901F7">
              <w:rPr>
                <w:rFonts w:eastAsia="Arial"/>
                <w:sz w:val="24"/>
                <w:szCs w:val="24"/>
              </w:rPr>
              <w:t>6</w:t>
            </w:r>
          </w:p>
        </w:tc>
        <w:tc>
          <w:tcPr>
            <w:tcW w:w="8100" w:type="dxa"/>
          </w:tcPr>
          <w:p w14:paraId="78ABF9A0" w14:textId="77777777" w:rsidR="00523696" w:rsidRPr="006B6C44" w:rsidRDefault="00523696" w:rsidP="00523696">
            <w:pPr>
              <w:rPr>
                <w:rFonts w:eastAsia="Arial"/>
                <w:b/>
                <w:sz w:val="24"/>
                <w:szCs w:val="24"/>
              </w:rPr>
            </w:pPr>
            <w:r w:rsidRPr="006B6C44">
              <w:rPr>
                <w:rFonts w:eastAsia="Arial"/>
                <w:b/>
                <w:sz w:val="24"/>
                <w:szCs w:val="24"/>
              </w:rPr>
              <w:t>Political Actors and Institutions I</w:t>
            </w:r>
          </w:p>
          <w:p w14:paraId="2C28A5AF" w14:textId="7DD9FF14" w:rsidR="006B6C44" w:rsidRPr="00523696" w:rsidRDefault="00523696" w:rsidP="00523696">
            <w:pPr>
              <w:numPr>
                <w:ilvl w:val="0"/>
                <w:numId w:val="30"/>
              </w:numPr>
              <w:spacing w:line="276" w:lineRule="auto"/>
              <w:contextualSpacing/>
              <w:rPr>
                <w:rFonts w:eastAsia="Arial"/>
                <w:sz w:val="24"/>
                <w:szCs w:val="24"/>
              </w:rPr>
            </w:pPr>
            <w:r w:rsidRPr="006B6C44">
              <w:rPr>
                <w:rFonts w:eastAsia="Arial"/>
                <w:sz w:val="24"/>
                <w:szCs w:val="24"/>
              </w:rPr>
              <w:t xml:space="preserve">Birkland, </w:t>
            </w:r>
            <w:r w:rsidRPr="006B6C44">
              <w:rPr>
                <w:rFonts w:eastAsia="Arial"/>
                <w:i/>
                <w:sz w:val="24"/>
                <w:szCs w:val="24"/>
              </w:rPr>
              <w:t>Policy Process</w:t>
            </w:r>
            <w:r w:rsidRPr="006B6C44">
              <w:rPr>
                <w:rFonts w:eastAsia="Arial"/>
                <w:sz w:val="24"/>
                <w:szCs w:val="24"/>
              </w:rPr>
              <w:t>, Chapters 4 and 5</w:t>
            </w:r>
          </w:p>
          <w:p w14:paraId="2E68EC4A" w14:textId="77777777" w:rsidR="006B6C44" w:rsidRPr="006B6C44" w:rsidRDefault="006B6C44" w:rsidP="00B71227">
            <w:pPr>
              <w:rPr>
                <w:rFonts w:eastAsia="Arial"/>
                <w:sz w:val="24"/>
                <w:szCs w:val="24"/>
              </w:rPr>
            </w:pPr>
          </w:p>
        </w:tc>
      </w:tr>
      <w:tr w:rsidR="006B6C44" w:rsidRPr="006B6C44" w14:paraId="5CCB5F44" w14:textId="77777777" w:rsidTr="00201752">
        <w:tc>
          <w:tcPr>
            <w:tcW w:w="1980" w:type="dxa"/>
          </w:tcPr>
          <w:p w14:paraId="7710154E" w14:textId="72173F4C" w:rsidR="006B6C44" w:rsidRPr="006B6C44" w:rsidRDefault="006B6C44" w:rsidP="006B6C44">
            <w:pPr>
              <w:spacing w:line="276" w:lineRule="auto"/>
              <w:rPr>
                <w:rFonts w:eastAsia="Arial"/>
                <w:sz w:val="24"/>
                <w:szCs w:val="24"/>
              </w:rPr>
            </w:pPr>
            <w:r w:rsidRPr="006B6C44">
              <w:rPr>
                <w:rFonts w:eastAsia="Arial"/>
                <w:sz w:val="24"/>
                <w:szCs w:val="24"/>
              </w:rPr>
              <w:t xml:space="preserve">October </w:t>
            </w:r>
            <w:r w:rsidR="006901F7">
              <w:rPr>
                <w:rFonts w:eastAsia="Arial"/>
                <w:sz w:val="24"/>
                <w:szCs w:val="24"/>
              </w:rPr>
              <w:t>3</w:t>
            </w:r>
          </w:p>
        </w:tc>
        <w:tc>
          <w:tcPr>
            <w:tcW w:w="8100" w:type="dxa"/>
          </w:tcPr>
          <w:p w14:paraId="77488630" w14:textId="77777777" w:rsidR="00523696" w:rsidRPr="006B6C44" w:rsidRDefault="00523696" w:rsidP="00523696">
            <w:pPr>
              <w:rPr>
                <w:rFonts w:eastAsia="Arial"/>
                <w:b/>
                <w:sz w:val="24"/>
                <w:szCs w:val="24"/>
              </w:rPr>
            </w:pPr>
            <w:r w:rsidRPr="006B6C44">
              <w:rPr>
                <w:rFonts w:eastAsia="Arial"/>
                <w:b/>
                <w:sz w:val="24"/>
                <w:szCs w:val="24"/>
              </w:rPr>
              <w:t>Political Actors and Institutions II</w:t>
            </w:r>
          </w:p>
          <w:p w14:paraId="3450CCA5" w14:textId="77777777" w:rsidR="00523696" w:rsidRPr="006B6C44" w:rsidRDefault="00523696" w:rsidP="00523696">
            <w:pPr>
              <w:numPr>
                <w:ilvl w:val="0"/>
                <w:numId w:val="30"/>
              </w:numPr>
              <w:contextualSpacing/>
              <w:rPr>
                <w:sz w:val="24"/>
                <w:szCs w:val="24"/>
              </w:rPr>
            </w:pPr>
            <w:r w:rsidRPr="006B6C44">
              <w:rPr>
                <w:sz w:val="24"/>
                <w:szCs w:val="24"/>
              </w:rPr>
              <w:t>Civics 101. Starter Kit: How a Bill (really) Becomes a Law.</w:t>
            </w:r>
            <w:r w:rsidRPr="006B6C44">
              <w:rPr>
                <w:sz w:val="24"/>
                <w:szCs w:val="24"/>
              </w:rPr>
              <w:br/>
            </w:r>
            <w:hyperlink r:id="rId17" w:history="1">
              <w:r w:rsidRPr="006B6C44">
                <w:rPr>
                  <w:color w:val="0563C1" w:themeColor="hyperlink"/>
                  <w:sz w:val="24"/>
                  <w:szCs w:val="24"/>
                  <w:u w:val="single"/>
                </w:rPr>
                <w:t>https://www.civics101podcast.org/civics-101-episodes/howabill</w:t>
              </w:r>
            </w:hyperlink>
            <w:r w:rsidRPr="006B6C44">
              <w:rPr>
                <w:sz w:val="24"/>
                <w:szCs w:val="24"/>
              </w:rPr>
              <w:t xml:space="preserve"> </w:t>
            </w:r>
          </w:p>
          <w:p w14:paraId="7846F50D" w14:textId="77777777" w:rsidR="006B6C44" w:rsidRPr="00D16EDB" w:rsidRDefault="00523696" w:rsidP="00523696">
            <w:pPr>
              <w:pStyle w:val="ListParagraph"/>
              <w:numPr>
                <w:ilvl w:val="0"/>
                <w:numId w:val="30"/>
              </w:numPr>
              <w:rPr>
                <w:rFonts w:eastAsia="Arial"/>
              </w:rPr>
            </w:pPr>
            <w:r w:rsidRPr="00523696">
              <w:rPr>
                <w:rFonts w:eastAsia="Arial"/>
                <w:sz w:val="24"/>
              </w:rPr>
              <w:t xml:space="preserve">Julia Azari, “It’s the Institutions Stupid,” </w:t>
            </w:r>
            <w:r w:rsidRPr="00523696">
              <w:rPr>
                <w:rFonts w:eastAsia="Arial"/>
                <w:i/>
                <w:iCs/>
                <w:sz w:val="24"/>
              </w:rPr>
              <w:t xml:space="preserve">Foreign Affairs </w:t>
            </w:r>
            <w:r w:rsidRPr="00523696">
              <w:rPr>
                <w:rFonts w:eastAsia="Arial"/>
                <w:sz w:val="24"/>
              </w:rPr>
              <w:t>July/August 2020. (Brightspace)</w:t>
            </w:r>
          </w:p>
          <w:p w14:paraId="572FB8A4" w14:textId="5ADA0036" w:rsidR="00D16EDB" w:rsidRPr="00523696" w:rsidRDefault="00D16EDB" w:rsidP="00D16EDB">
            <w:pPr>
              <w:pStyle w:val="ListParagraph"/>
              <w:rPr>
                <w:rFonts w:eastAsia="Arial"/>
              </w:rPr>
            </w:pPr>
          </w:p>
        </w:tc>
      </w:tr>
      <w:tr w:rsidR="006B6C44" w:rsidRPr="006B6C44" w14:paraId="216A44A6" w14:textId="77777777" w:rsidTr="00201752">
        <w:tc>
          <w:tcPr>
            <w:tcW w:w="1980" w:type="dxa"/>
          </w:tcPr>
          <w:p w14:paraId="01129EEE" w14:textId="50524D2C" w:rsidR="006B6C44" w:rsidRPr="006B6C44" w:rsidRDefault="006B6C44" w:rsidP="006B6C44">
            <w:pPr>
              <w:spacing w:line="276" w:lineRule="auto"/>
              <w:rPr>
                <w:rFonts w:eastAsia="Arial"/>
                <w:sz w:val="24"/>
                <w:szCs w:val="24"/>
              </w:rPr>
            </w:pPr>
            <w:r w:rsidRPr="006B6C44">
              <w:rPr>
                <w:rFonts w:eastAsia="Arial"/>
                <w:sz w:val="24"/>
                <w:szCs w:val="24"/>
              </w:rPr>
              <w:t>October 1</w:t>
            </w:r>
            <w:r w:rsidR="006901F7">
              <w:rPr>
                <w:rFonts w:eastAsia="Arial"/>
                <w:sz w:val="24"/>
                <w:szCs w:val="24"/>
              </w:rPr>
              <w:t>0</w:t>
            </w:r>
          </w:p>
        </w:tc>
        <w:tc>
          <w:tcPr>
            <w:tcW w:w="8100" w:type="dxa"/>
          </w:tcPr>
          <w:p w14:paraId="5F142619" w14:textId="77777777" w:rsidR="006B6C44" w:rsidRDefault="001D3B20" w:rsidP="00523696">
            <w:pPr>
              <w:rPr>
                <w:rFonts w:eastAsia="Arial"/>
                <w:b/>
                <w:sz w:val="24"/>
                <w:szCs w:val="24"/>
              </w:rPr>
            </w:pPr>
            <w:r>
              <w:rPr>
                <w:rFonts w:eastAsia="Arial"/>
                <w:b/>
                <w:sz w:val="24"/>
                <w:szCs w:val="24"/>
              </w:rPr>
              <w:t>Guest Speaker</w:t>
            </w:r>
          </w:p>
          <w:p w14:paraId="368C0A8D" w14:textId="77777777" w:rsidR="001D3B20" w:rsidRDefault="001D3B20" w:rsidP="00523696">
            <w:pPr>
              <w:rPr>
                <w:rFonts w:eastAsia="Arial"/>
                <w:b/>
                <w:sz w:val="24"/>
                <w:szCs w:val="24"/>
              </w:rPr>
            </w:pPr>
            <w:r w:rsidRPr="001D3B20">
              <w:rPr>
                <w:rFonts w:eastAsia="Arial"/>
                <w:b/>
                <w:sz w:val="24"/>
                <w:szCs w:val="24"/>
              </w:rPr>
              <w:t>Terri Gerstein</w:t>
            </w:r>
            <w:r>
              <w:rPr>
                <w:rFonts w:eastAsia="Arial"/>
                <w:b/>
                <w:sz w:val="24"/>
                <w:szCs w:val="24"/>
              </w:rPr>
              <w:t xml:space="preserve">, </w:t>
            </w:r>
            <w:r w:rsidRPr="001D3B20">
              <w:rPr>
                <w:rFonts w:eastAsia="Arial"/>
                <w:b/>
                <w:sz w:val="24"/>
                <w:szCs w:val="24"/>
              </w:rPr>
              <w:t>Director</w:t>
            </w:r>
          </w:p>
          <w:p w14:paraId="7A599C9C" w14:textId="77777777" w:rsidR="001D3B20" w:rsidRDefault="001D3B20" w:rsidP="00523696">
            <w:pPr>
              <w:rPr>
                <w:rFonts w:eastAsia="Arial"/>
                <w:b/>
                <w:sz w:val="24"/>
                <w:szCs w:val="24"/>
              </w:rPr>
            </w:pPr>
            <w:r>
              <w:rPr>
                <w:rFonts w:eastAsia="Arial"/>
                <w:b/>
                <w:sz w:val="24"/>
                <w:szCs w:val="24"/>
              </w:rPr>
              <w:t xml:space="preserve">NYU Wagner Labor Initiative </w:t>
            </w:r>
          </w:p>
          <w:p w14:paraId="4267C12A" w14:textId="3CA6963C" w:rsidR="00D16EDB" w:rsidRPr="006B6C44" w:rsidRDefault="00D16EDB" w:rsidP="00523696">
            <w:pPr>
              <w:rPr>
                <w:rFonts w:eastAsia="Arial"/>
                <w:b/>
                <w:sz w:val="24"/>
                <w:szCs w:val="24"/>
              </w:rPr>
            </w:pPr>
          </w:p>
        </w:tc>
      </w:tr>
      <w:tr w:rsidR="006B6C44" w:rsidRPr="006B6C44" w14:paraId="7FB6FE40" w14:textId="77777777" w:rsidTr="00201752">
        <w:tc>
          <w:tcPr>
            <w:tcW w:w="1980" w:type="dxa"/>
          </w:tcPr>
          <w:p w14:paraId="04D851D3" w14:textId="1DEC7616" w:rsidR="006B6C44" w:rsidRPr="006B6C44" w:rsidRDefault="006B6C44" w:rsidP="006B6C44">
            <w:pPr>
              <w:spacing w:line="276" w:lineRule="auto"/>
              <w:rPr>
                <w:rFonts w:eastAsia="Arial"/>
                <w:sz w:val="24"/>
                <w:szCs w:val="24"/>
              </w:rPr>
            </w:pPr>
            <w:r w:rsidRPr="006B6C44">
              <w:rPr>
                <w:rFonts w:eastAsia="Arial"/>
                <w:sz w:val="24"/>
                <w:szCs w:val="24"/>
              </w:rPr>
              <w:lastRenderedPageBreak/>
              <w:t>October 1</w:t>
            </w:r>
            <w:r w:rsidR="006901F7">
              <w:rPr>
                <w:rFonts w:eastAsia="Arial"/>
                <w:sz w:val="24"/>
                <w:szCs w:val="24"/>
              </w:rPr>
              <w:t>7</w:t>
            </w:r>
          </w:p>
        </w:tc>
        <w:tc>
          <w:tcPr>
            <w:tcW w:w="8100" w:type="dxa"/>
          </w:tcPr>
          <w:p w14:paraId="1AABF933" w14:textId="77777777" w:rsidR="007679CD" w:rsidRDefault="007679CD" w:rsidP="007679CD">
            <w:pPr>
              <w:rPr>
                <w:rFonts w:eastAsia="Arial"/>
                <w:sz w:val="24"/>
                <w:szCs w:val="24"/>
              </w:rPr>
            </w:pPr>
            <w:r>
              <w:rPr>
                <w:rFonts w:eastAsia="Arial"/>
                <w:b/>
                <w:sz w:val="24"/>
                <w:szCs w:val="24"/>
              </w:rPr>
              <w:t>Interest Groups</w:t>
            </w:r>
          </w:p>
          <w:p w14:paraId="5283CD9A" w14:textId="77777777" w:rsidR="007679CD" w:rsidRPr="006B6C44" w:rsidRDefault="007679CD" w:rsidP="007679CD">
            <w:pPr>
              <w:numPr>
                <w:ilvl w:val="0"/>
                <w:numId w:val="29"/>
              </w:numPr>
              <w:pBdr>
                <w:top w:val="none" w:sz="0" w:space="0" w:color="auto"/>
                <w:left w:val="none" w:sz="0" w:space="0" w:color="auto"/>
                <w:bottom w:val="none" w:sz="0" w:space="0" w:color="auto"/>
                <w:right w:val="none" w:sz="0" w:space="0" w:color="auto"/>
                <w:between w:val="none" w:sz="0" w:space="0" w:color="auto"/>
              </w:pBdr>
              <w:contextualSpacing/>
              <w:rPr>
                <w:rFonts w:eastAsia="Arial"/>
                <w:sz w:val="24"/>
                <w:szCs w:val="24"/>
              </w:rPr>
            </w:pPr>
            <w:r w:rsidRPr="006B6C44">
              <w:rPr>
                <w:rFonts w:eastAsia="Arial"/>
                <w:sz w:val="24"/>
                <w:szCs w:val="24"/>
              </w:rPr>
              <w:t xml:space="preserve">Olson, </w:t>
            </w:r>
            <w:proofErr w:type="spellStart"/>
            <w:r w:rsidRPr="006B6C44">
              <w:rPr>
                <w:rFonts w:eastAsia="Arial"/>
                <w:sz w:val="24"/>
                <w:szCs w:val="24"/>
              </w:rPr>
              <w:t>Mancur</w:t>
            </w:r>
            <w:proofErr w:type="spellEnd"/>
            <w:r w:rsidRPr="006B6C44">
              <w:rPr>
                <w:rFonts w:eastAsia="Arial"/>
                <w:sz w:val="24"/>
                <w:szCs w:val="24"/>
              </w:rPr>
              <w:t xml:space="preserve">. “The Logic of Collective Action.” In </w:t>
            </w:r>
            <w:proofErr w:type="gramStart"/>
            <w:r w:rsidRPr="006B6C44">
              <w:rPr>
                <w:rFonts w:eastAsia="Arial"/>
                <w:i/>
                <w:sz w:val="24"/>
                <w:szCs w:val="24"/>
              </w:rPr>
              <w:t>The</w:t>
            </w:r>
            <w:proofErr w:type="gramEnd"/>
            <w:r w:rsidRPr="006B6C44">
              <w:rPr>
                <w:rFonts w:eastAsia="Arial"/>
                <w:i/>
                <w:sz w:val="24"/>
                <w:szCs w:val="24"/>
              </w:rPr>
              <w:t xml:space="preserve"> Enduring Debate: Classic and Contemporary Readings in American Politics</w:t>
            </w:r>
            <w:r w:rsidRPr="006B6C44">
              <w:rPr>
                <w:rFonts w:eastAsia="Arial"/>
                <w:sz w:val="24"/>
                <w:szCs w:val="24"/>
              </w:rPr>
              <w:t>. W. W. Norton &amp; Company, 2014, pp. 452–461. (Brightspace)</w:t>
            </w:r>
          </w:p>
          <w:p w14:paraId="25737001" w14:textId="77777777" w:rsidR="007679CD" w:rsidRDefault="007679CD" w:rsidP="007679CD">
            <w:pPr>
              <w:numPr>
                <w:ilvl w:val="0"/>
                <w:numId w:val="29"/>
              </w:numPr>
              <w:pBdr>
                <w:top w:val="none" w:sz="0" w:space="0" w:color="auto"/>
                <w:left w:val="none" w:sz="0" w:space="0" w:color="auto"/>
                <w:bottom w:val="none" w:sz="0" w:space="0" w:color="auto"/>
                <w:right w:val="none" w:sz="0" w:space="0" w:color="auto"/>
                <w:between w:val="none" w:sz="0" w:space="0" w:color="auto"/>
              </w:pBdr>
              <w:contextualSpacing/>
              <w:rPr>
                <w:rFonts w:eastAsia="Arial"/>
                <w:sz w:val="24"/>
                <w:szCs w:val="24"/>
              </w:rPr>
            </w:pPr>
            <w:r>
              <w:rPr>
                <w:rFonts w:eastAsia="Arial"/>
                <w:sz w:val="24"/>
                <w:szCs w:val="24"/>
              </w:rPr>
              <w:t xml:space="preserve">Sabatier, Paul. 1988. </w:t>
            </w:r>
            <w:r w:rsidRPr="006B6C44">
              <w:rPr>
                <w:rFonts w:eastAsia="Arial"/>
                <w:sz w:val="24"/>
                <w:szCs w:val="24"/>
              </w:rPr>
              <w:t>“An Advocacy Coalition Framework of Policy Change and the Role of Policy-Oriented Learning Therein</w:t>
            </w:r>
            <w:r>
              <w:rPr>
                <w:rFonts w:eastAsia="Arial"/>
                <w:sz w:val="24"/>
                <w:szCs w:val="24"/>
              </w:rPr>
              <w:t>,</w:t>
            </w:r>
            <w:r w:rsidRPr="006B6C44">
              <w:rPr>
                <w:rFonts w:eastAsia="Arial"/>
                <w:sz w:val="24"/>
                <w:szCs w:val="24"/>
              </w:rPr>
              <w:t>”</w:t>
            </w:r>
            <w:r>
              <w:rPr>
                <w:rFonts w:eastAsia="Arial"/>
                <w:sz w:val="24"/>
                <w:szCs w:val="24"/>
              </w:rPr>
              <w:t xml:space="preserve"> Policy Sciences, 21: 129-168. (Brightspace)</w:t>
            </w:r>
          </w:p>
          <w:p w14:paraId="589C8EC8" w14:textId="77777777" w:rsidR="007679CD" w:rsidRPr="006B6C44" w:rsidRDefault="007679CD" w:rsidP="007679CD">
            <w:pPr>
              <w:numPr>
                <w:ilvl w:val="0"/>
                <w:numId w:val="29"/>
              </w:numPr>
              <w:pBdr>
                <w:top w:val="none" w:sz="0" w:space="0" w:color="auto"/>
                <w:left w:val="none" w:sz="0" w:space="0" w:color="auto"/>
                <w:bottom w:val="none" w:sz="0" w:space="0" w:color="auto"/>
                <w:right w:val="none" w:sz="0" w:space="0" w:color="auto"/>
                <w:between w:val="none" w:sz="0" w:space="0" w:color="auto"/>
              </w:pBdr>
              <w:contextualSpacing/>
              <w:rPr>
                <w:rFonts w:eastAsia="Arial"/>
                <w:sz w:val="24"/>
                <w:szCs w:val="24"/>
              </w:rPr>
            </w:pPr>
            <w:r w:rsidRPr="00B71227">
              <w:rPr>
                <w:rFonts w:eastAsia="Arial"/>
                <w:sz w:val="24"/>
                <w:szCs w:val="24"/>
              </w:rPr>
              <w:t xml:space="preserve">Frank R. Baumgartner, Jeffrey M. Berry, Marie </w:t>
            </w:r>
            <w:proofErr w:type="spellStart"/>
            <w:r w:rsidRPr="00B71227">
              <w:rPr>
                <w:rFonts w:eastAsia="Arial"/>
                <w:sz w:val="24"/>
                <w:szCs w:val="24"/>
              </w:rPr>
              <w:t>Hojnacki</w:t>
            </w:r>
            <w:proofErr w:type="spellEnd"/>
            <w:r w:rsidRPr="00B71227">
              <w:rPr>
                <w:rFonts w:eastAsia="Arial"/>
                <w:sz w:val="24"/>
                <w:szCs w:val="24"/>
              </w:rPr>
              <w:t xml:space="preserve">, David C. Kimball, and Beth L. Leech, 2009, Lobbying and Policy Change: Who Wins, Who Loses, and Why. Chicago: University of Chicago Press, Chapter </w:t>
            </w:r>
            <w:r>
              <w:rPr>
                <w:rFonts w:eastAsia="Arial"/>
                <w:sz w:val="24"/>
                <w:szCs w:val="24"/>
              </w:rPr>
              <w:t>1</w:t>
            </w:r>
            <w:r w:rsidRPr="00B71227">
              <w:rPr>
                <w:rFonts w:eastAsia="Arial"/>
                <w:sz w:val="24"/>
                <w:szCs w:val="24"/>
              </w:rPr>
              <w:t>: “Advocacy, Public Policy, and Policy Change,” 1</w:t>
            </w:r>
            <w:r>
              <w:rPr>
                <w:rFonts w:eastAsia="Arial"/>
                <w:sz w:val="24"/>
                <w:szCs w:val="24"/>
              </w:rPr>
              <w:t>-28</w:t>
            </w:r>
            <w:r w:rsidRPr="00B71227">
              <w:rPr>
                <w:rFonts w:eastAsia="Arial"/>
                <w:sz w:val="24"/>
                <w:szCs w:val="24"/>
              </w:rPr>
              <w:t>.</w:t>
            </w:r>
            <w:r>
              <w:rPr>
                <w:rFonts w:eastAsia="Arial"/>
                <w:sz w:val="24"/>
                <w:szCs w:val="24"/>
              </w:rPr>
              <w:t xml:space="preserve"> (Brightspace)</w:t>
            </w:r>
          </w:p>
          <w:p w14:paraId="5DCECD1F" w14:textId="77777777" w:rsidR="006B6C44" w:rsidRDefault="006B6C44" w:rsidP="00590AFC">
            <w:pPr>
              <w:contextualSpacing/>
              <w:rPr>
                <w:rFonts w:eastAsia="Arial"/>
                <w:sz w:val="24"/>
                <w:szCs w:val="24"/>
              </w:rPr>
            </w:pPr>
          </w:p>
          <w:p w14:paraId="79C7C3FF" w14:textId="22CAEC0F" w:rsidR="00933CAF" w:rsidRPr="006B6C44" w:rsidRDefault="00933CAF" w:rsidP="00590AFC">
            <w:pPr>
              <w:contextualSpacing/>
              <w:rPr>
                <w:rFonts w:eastAsia="Arial"/>
                <w:sz w:val="24"/>
                <w:szCs w:val="24"/>
              </w:rPr>
            </w:pPr>
          </w:p>
        </w:tc>
      </w:tr>
      <w:tr w:rsidR="006B6C44" w:rsidRPr="006B6C44" w14:paraId="72782C18" w14:textId="77777777" w:rsidTr="00201752">
        <w:tc>
          <w:tcPr>
            <w:tcW w:w="1980" w:type="dxa"/>
          </w:tcPr>
          <w:p w14:paraId="2A44DDC1" w14:textId="7029AFA0" w:rsidR="006B6C44" w:rsidRPr="006B6C44" w:rsidRDefault="006B6C44" w:rsidP="006B6C44">
            <w:pPr>
              <w:spacing w:line="276" w:lineRule="auto"/>
              <w:rPr>
                <w:rFonts w:eastAsia="Arial"/>
                <w:sz w:val="24"/>
                <w:szCs w:val="24"/>
              </w:rPr>
            </w:pPr>
            <w:r w:rsidRPr="006B6C44">
              <w:rPr>
                <w:rFonts w:eastAsia="Arial"/>
                <w:sz w:val="24"/>
                <w:szCs w:val="24"/>
              </w:rPr>
              <w:t>October 2</w:t>
            </w:r>
            <w:r w:rsidR="006901F7">
              <w:rPr>
                <w:rFonts w:eastAsia="Arial"/>
                <w:sz w:val="24"/>
                <w:szCs w:val="24"/>
              </w:rPr>
              <w:t>4</w:t>
            </w:r>
          </w:p>
        </w:tc>
        <w:tc>
          <w:tcPr>
            <w:tcW w:w="8100" w:type="dxa"/>
          </w:tcPr>
          <w:p w14:paraId="15DBBC76" w14:textId="29D9C798" w:rsidR="00933CAF" w:rsidRPr="00C62729" w:rsidRDefault="00F800AD" w:rsidP="00B71227">
            <w:pPr>
              <w:rPr>
                <w:rFonts w:eastAsia="Arial"/>
                <w:b/>
                <w:sz w:val="24"/>
                <w:szCs w:val="24"/>
              </w:rPr>
            </w:pPr>
            <w:r>
              <w:rPr>
                <w:rFonts w:eastAsia="Arial"/>
                <w:b/>
                <w:sz w:val="24"/>
                <w:szCs w:val="24"/>
              </w:rPr>
              <w:t>No Class – Professor at Conference</w:t>
            </w:r>
          </w:p>
          <w:p w14:paraId="32D00C64" w14:textId="30E1633F" w:rsidR="00D16EDB" w:rsidRPr="006B6C44" w:rsidRDefault="00D16EDB" w:rsidP="00B71227">
            <w:pPr>
              <w:rPr>
                <w:rFonts w:eastAsia="Arial"/>
                <w:sz w:val="24"/>
                <w:szCs w:val="24"/>
              </w:rPr>
            </w:pPr>
          </w:p>
        </w:tc>
      </w:tr>
      <w:tr w:rsidR="006B6C44" w:rsidRPr="006B6C44" w14:paraId="56381C11" w14:textId="77777777" w:rsidTr="00201752">
        <w:trPr>
          <w:trHeight w:val="377"/>
        </w:trPr>
        <w:tc>
          <w:tcPr>
            <w:tcW w:w="1980" w:type="dxa"/>
          </w:tcPr>
          <w:p w14:paraId="074097C6" w14:textId="6BC19DDD" w:rsidR="006B6C44" w:rsidRPr="006B6C44" w:rsidRDefault="006901F7" w:rsidP="006B6C44">
            <w:pPr>
              <w:spacing w:line="276" w:lineRule="auto"/>
              <w:rPr>
                <w:rFonts w:eastAsia="Arial"/>
                <w:sz w:val="24"/>
                <w:szCs w:val="24"/>
              </w:rPr>
            </w:pPr>
            <w:bookmarkStart w:id="4" w:name="_Hlk149294161"/>
            <w:bookmarkStart w:id="5" w:name="_Hlk149294235"/>
            <w:r>
              <w:rPr>
                <w:rFonts w:eastAsia="Arial"/>
                <w:sz w:val="24"/>
                <w:szCs w:val="24"/>
              </w:rPr>
              <w:t>October 31</w:t>
            </w:r>
          </w:p>
        </w:tc>
        <w:tc>
          <w:tcPr>
            <w:tcW w:w="8100" w:type="dxa"/>
          </w:tcPr>
          <w:p w14:paraId="0F4A1A60" w14:textId="77777777" w:rsidR="007679CD" w:rsidRPr="006B6C44" w:rsidRDefault="00C62729" w:rsidP="007679CD">
            <w:pPr>
              <w:rPr>
                <w:rFonts w:eastAsia="Arial"/>
                <w:b/>
                <w:sz w:val="24"/>
                <w:szCs w:val="24"/>
              </w:rPr>
            </w:pPr>
            <w:r>
              <w:rPr>
                <w:kern w:val="36"/>
                <w:sz w:val="24"/>
                <w:szCs w:val="24"/>
              </w:rPr>
              <w:t xml:space="preserve"> </w:t>
            </w:r>
            <w:r w:rsidR="007679CD" w:rsidRPr="006B6C44">
              <w:rPr>
                <w:rFonts w:eastAsia="Arial"/>
                <w:b/>
                <w:sz w:val="24"/>
                <w:szCs w:val="24"/>
              </w:rPr>
              <w:t xml:space="preserve">Agenda Setting </w:t>
            </w:r>
          </w:p>
          <w:p w14:paraId="28E28DE6" w14:textId="77777777" w:rsidR="007679CD" w:rsidRPr="006B6C44" w:rsidRDefault="007679CD" w:rsidP="007679CD">
            <w:pPr>
              <w:numPr>
                <w:ilvl w:val="0"/>
                <w:numId w:val="30"/>
              </w:numPr>
              <w:pBdr>
                <w:top w:val="none" w:sz="0" w:space="0" w:color="auto"/>
                <w:left w:val="none" w:sz="0" w:space="0" w:color="auto"/>
                <w:bottom w:val="none" w:sz="0" w:space="0" w:color="auto"/>
                <w:right w:val="none" w:sz="0" w:space="0" w:color="auto"/>
                <w:between w:val="none" w:sz="0" w:space="0" w:color="auto"/>
              </w:pBdr>
              <w:contextualSpacing/>
              <w:rPr>
                <w:rFonts w:eastAsia="Arial"/>
                <w:sz w:val="24"/>
                <w:szCs w:val="24"/>
              </w:rPr>
            </w:pPr>
            <w:r w:rsidRPr="00FD3D9E">
              <w:rPr>
                <w:rFonts w:eastAsia="Arial"/>
                <w:sz w:val="24"/>
                <w:szCs w:val="24"/>
              </w:rPr>
              <w:t>Birkland,</w:t>
            </w:r>
            <w:r>
              <w:rPr>
                <w:rFonts w:eastAsia="Arial"/>
                <w:i/>
                <w:sz w:val="24"/>
                <w:szCs w:val="24"/>
              </w:rPr>
              <w:t xml:space="preserve"> </w:t>
            </w:r>
            <w:r w:rsidRPr="006B6C44">
              <w:rPr>
                <w:rFonts w:eastAsia="Arial"/>
                <w:i/>
                <w:sz w:val="24"/>
                <w:szCs w:val="24"/>
              </w:rPr>
              <w:t>Policy Process</w:t>
            </w:r>
            <w:r w:rsidRPr="006B6C44">
              <w:rPr>
                <w:rFonts w:eastAsia="Arial"/>
                <w:sz w:val="24"/>
                <w:szCs w:val="24"/>
              </w:rPr>
              <w:t>, Chapter 6</w:t>
            </w:r>
          </w:p>
          <w:p w14:paraId="7C10F058" w14:textId="77777777" w:rsidR="00C62729" w:rsidRPr="00D16EDB" w:rsidRDefault="007679CD" w:rsidP="007679CD">
            <w:pPr>
              <w:pStyle w:val="ListParagraph"/>
              <w:numPr>
                <w:ilvl w:val="0"/>
                <w:numId w:val="30"/>
              </w:numPr>
            </w:pPr>
            <w:r w:rsidRPr="007679CD">
              <w:rPr>
                <w:rFonts w:eastAsia="Arial"/>
                <w:sz w:val="24"/>
              </w:rPr>
              <w:t xml:space="preserve">Frank R. Baumgartner, Jeffrey M. Berry, Marie </w:t>
            </w:r>
            <w:proofErr w:type="spellStart"/>
            <w:r w:rsidRPr="007679CD">
              <w:rPr>
                <w:rFonts w:eastAsia="Arial"/>
                <w:sz w:val="24"/>
              </w:rPr>
              <w:t>Hojnacki</w:t>
            </w:r>
            <w:proofErr w:type="spellEnd"/>
            <w:r w:rsidRPr="007679CD">
              <w:rPr>
                <w:rFonts w:eastAsia="Arial"/>
                <w:sz w:val="24"/>
              </w:rPr>
              <w:t>, David C. Kimball, and Beth L. Leech, 2009, Lobbying and Policy Change: Who Wins, Who Loses, and Why. Chicago: University of Chicago Press, Chapter 9: “Washington: The Real No-Spin Zone,” 166-189. (Brightspace)</w:t>
            </w:r>
          </w:p>
          <w:p w14:paraId="6BB9E94D" w14:textId="692CF070" w:rsidR="00D16EDB" w:rsidRPr="007679CD" w:rsidRDefault="00D16EDB" w:rsidP="00D16EDB">
            <w:pPr>
              <w:pStyle w:val="ListParagraph"/>
            </w:pPr>
          </w:p>
        </w:tc>
      </w:tr>
      <w:tr w:rsidR="006B6C44" w:rsidRPr="006B6C44" w14:paraId="49FDAFB5" w14:textId="77777777" w:rsidTr="00185D2A">
        <w:trPr>
          <w:trHeight w:val="6128"/>
        </w:trPr>
        <w:tc>
          <w:tcPr>
            <w:tcW w:w="1980" w:type="dxa"/>
          </w:tcPr>
          <w:p w14:paraId="4199A3FF" w14:textId="016FE1AD" w:rsidR="006B6C44" w:rsidRPr="006B6C44" w:rsidRDefault="006B6C44" w:rsidP="006B6C44">
            <w:pPr>
              <w:spacing w:line="276" w:lineRule="auto"/>
              <w:rPr>
                <w:rFonts w:eastAsia="Arial"/>
                <w:sz w:val="24"/>
                <w:szCs w:val="24"/>
              </w:rPr>
            </w:pPr>
            <w:r w:rsidRPr="006B6C44">
              <w:rPr>
                <w:rFonts w:eastAsia="Arial"/>
                <w:sz w:val="24"/>
                <w:szCs w:val="24"/>
              </w:rPr>
              <w:t xml:space="preserve">November </w:t>
            </w:r>
            <w:r w:rsidR="006901F7">
              <w:rPr>
                <w:rFonts w:eastAsia="Arial"/>
                <w:sz w:val="24"/>
                <w:szCs w:val="24"/>
              </w:rPr>
              <w:t>7</w:t>
            </w:r>
          </w:p>
        </w:tc>
        <w:tc>
          <w:tcPr>
            <w:tcW w:w="8100" w:type="dxa"/>
          </w:tcPr>
          <w:p w14:paraId="479355F8" w14:textId="77777777" w:rsidR="007679CD" w:rsidRPr="006B6C44" w:rsidRDefault="007679CD" w:rsidP="007679CD">
            <w:pPr>
              <w:rPr>
                <w:rFonts w:eastAsia="Arial"/>
                <w:b/>
                <w:sz w:val="24"/>
                <w:szCs w:val="24"/>
              </w:rPr>
            </w:pPr>
            <w:r>
              <w:rPr>
                <w:rFonts w:eastAsia="Arial"/>
                <w:b/>
                <w:sz w:val="24"/>
                <w:szCs w:val="24"/>
              </w:rPr>
              <w:t xml:space="preserve">Policy Design and </w:t>
            </w:r>
            <w:r w:rsidRPr="006B6C44">
              <w:rPr>
                <w:rFonts w:eastAsia="Arial"/>
                <w:b/>
                <w:sz w:val="24"/>
                <w:szCs w:val="24"/>
              </w:rPr>
              <w:t>Implementation</w:t>
            </w:r>
          </w:p>
          <w:p w14:paraId="7A55E501" w14:textId="77777777" w:rsidR="007679CD" w:rsidRPr="006B6C44" w:rsidRDefault="007679CD" w:rsidP="007679CD">
            <w:pPr>
              <w:numPr>
                <w:ilvl w:val="0"/>
                <w:numId w:val="30"/>
              </w:numPr>
              <w:pBdr>
                <w:top w:val="none" w:sz="0" w:space="0" w:color="auto"/>
                <w:left w:val="none" w:sz="0" w:space="0" w:color="auto"/>
                <w:bottom w:val="none" w:sz="0" w:space="0" w:color="auto"/>
                <w:right w:val="none" w:sz="0" w:space="0" w:color="auto"/>
                <w:between w:val="none" w:sz="0" w:space="0" w:color="auto"/>
              </w:pBdr>
              <w:contextualSpacing/>
              <w:rPr>
                <w:sz w:val="24"/>
                <w:szCs w:val="24"/>
              </w:rPr>
            </w:pPr>
            <w:r w:rsidRPr="006B6C44">
              <w:rPr>
                <w:sz w:val="24"/>
                <w:szCs w:val="24"/>
              </w:rPr>
              <w:t xml:space="preserve">Birkland, </w:t>
            </w:r>
            <w:r w:rsidRPr="006B6C44">
              <w:rPr>
                <w:i/>
                <w:sz w:val="24"/>
                <w:szCs w:val="24"/>
              </w:rPr>
              <w:t>Policy Process</w:t>
            </w:r>
            <w:r w:rsidRPr="006B6C44">
              <w:rPr>
                <w:sz w:val="24"/>
                <w:szCs w:val="24"/>
              </w:rPr>
              <w:t>, Chapter 9</w:t>
            </w:r>
          </w:p>
          <w:p w14:paraId="4C3F565E" w14:textId="77777777" w:rsidR="007679CD" w:rsidRPr="006B6C44" w:rsidRDefault="007679CD" w:rsidP="007679CD">
            <w:pPr>
              <w:numPr>
                <w:ilvl w:val="0"/>
                <w:numId w:val="30"/>
              </w:numPr>
              <w:pBdr>
                <w:top w:val="none" w:sz="0" w:space="0" w:color="auto"/>
                <w:left w:val="none" w:sz="0" w:space="0" w:color="auto"/>
                <w:bottom w:val="none" w:sz="0" w:space="0" w:color="auto"/>
                <w:right w:val="none" w:sz="0" w:space="0" w:color="auto"/>
                <w:between w:val="none" w:sz="0" w:space="0" w:color="auto"/>
              </w:pBdr>
              <w:contextualSpacing/>
              <w:rPr>
                <w:sz w:val="24"/>
                <w:szCs w:val="24"/>
              </w:rPr>
            </w:pPr>
            <w:r w:rsidRPr="006B6C44">
              <w:rPr>
                <w:sz w:val="24"/>
                <w:szCs w:val="24"/>
              </w:rPr>
              <w:t xml:space="preserve">Weimer, David L. 1992. “Claiming Races, Broiler Contracts, </w:t>
            </w:r>
            <w:proofErr w:type="spellStart"/>
            <w:r w:rsidRPr="006B6C44">
              <w:rPr>
                <w:sz w:val="24"/>
                <w:szCs w:val="24"/>
              </w:rPr>
              <w:t>Heresthetics</w:t>
            </w:r>
            <w:proofErr w:type="spellEnd"/>
            <w:r w:rsidRPr="006B6C44">
              <w:rPr>
                <w:sz w:val="24"/>
                <w:szCs w:val="24"/>
              </w:rPr>
              <w:t>, And Habits: Ten Concepts for Policy Design.” Policy Sciences 25: 135-159.</w:t>
            </w:r>
            <w:r>
              <w:rPr>
                <w:sz w:val="24"/>
                <w:szCs w:val="24"/>
              </w:rPr>
              <w:t xml:space="preserve"> (Brightspace)</w:t>
            </w:r>
          </w:p>
          <w:p w14:paraId="34E1297E" w14:textId="77777777" w:rsidR="007679CD" w:rsidRDefault="007679CD" w:rsidP="007679CD">
            <w:pPr>
              <w:numPr>
                <w:ilvl w:val="0"/>
                <w:numId w:val="34"/>
              </w:numPr>
              <w:contextualSpacing/>
              <w:rPr>
                <w:sz w:val="24"/>
                <w:szCs w:val="24"/>
              </w:rPr>
            </w:pPr>
            <w:proofErr w:type="spellStart"/>
            <w:r w:rsidRPr="006B6C44">
              <w:rPr>
                <w:sz w:val="24"/>
                <w:szCs w:val="24"/>
              </w:rPr>
              <w:t>Sendhil</w:t>
            </w:r>
            <w:proofErr w:type="spellEnd"/>
            <w:r w:rsidRPr="006B6C44">
              <w:rPr>
                <w:sz w:val="24"/>
                <w:szCs w:val="24"/>
              </w:rPr>
              <w:t xml:space="preserve"> Mullainathan, “</w:t>
            </w:r>
            <w:r w:rsidRPr="006B6C44">
              <w:rPr>
                <w:kern w:val="36"/>
                <w:sz w:val="24"/>
                <w:szCs w:val="24"/>
              </w:rPr>
              <w:t xml:space="preserve">Get Ready for Technological Upheaval by Expecting the Unimagined,” </w:t>
            </w:r>
            <w:r w:rsidRPr="006B6C44">
              <w:rPr>
                <w:i/>
                <w:kern w:val="36"/>
                <w:sz w:val="24"/>
                <w:szCs w:val="24"/>
              </w:rPr>
              <w:t>New York Times</w:t>
            </w:r>
            <w:r w:rsidRPr="006B6C44">
              <w:rPr>
                <w:kern w:val="36"/>
                <w:sz w:val="24"/>
                <w:szCs w:val="24"/>
              </w:rPr>
              <w:t>, September 2, 2017</w:t>
            </w:r>
            <w:r>
              <w:rPr>
                <w:kern w:val="36"/>
                <w:sz w:val="24"/>
                <w:szCs w:val="24"/>
              </w:rPr>
              <w:t>.</w:t>
            </w:r>
            <w:r>
              <w:t xml:space="preserve"> </w:t>
            </w:r>
            <w:hyperlink r:id="rId18" w:history="1">
              <w:r w:rsidRPr="00FA6825">
                <w:rPr>
                  <w:rStyle w:val="Hyperlink"/>
                  <w:kern w:val="36"/>
                </w:rPr>
                <w:t>https://www.nytimes.com/2017/09/02/business/economy/get-ready-for-technological-upheaval-by-expecting-the-unimagined.html</w:t>
              </w:r>
            </w:hyperlink>
          </w:p>
          <w:p w14:paraId="3D019C58" w14:textId="77777777" w:rsidR="007679CD" w:rsidRPr="006B6C44" w:rsidRDefault="007679CD" w:rsidP="007679CD">
            <w:pPr>
              <w:numPr>
                <w:ilvl w:val="0"/>
                <w:numId w:val="34"/>
              </w:numPr>
              <w:contextualSpacing/>
              <w:rPr>
                <w:sz w:val="24"/>
                <w:szCs w:val="24"/>
              </w:rPr>
            </w:pPr>
            <w:r w:rsidRPr="006B6C44">
              <w:rPr>
                <w:sz w:val="24"/>
                <w:szCs w:val="24"/>
              </w:rPr>
              <w:t xml:space="preserve">Birkland, </w:t>
            </w:r>
            <w:r w:rsidRPr="006B6C44">
              <w:rPr>
                <w:i/>
                <w:sz w:val="24"/>
                <w:szCs w:val="24"/>
              </w:rPr>
              <w:t>Policy Process</w:t>
            </w:r>
            <w:r w:rsidRPr="006B6C44">
              <w:rPr>
                <w:sz w:val="24"/>
                <w:szCs w:val="24"/>
              </w:rPr>
              <w:t>, Chapter 10</w:t>
            </w:r>
          </w:p>
          <w:p w14:paraId="01D7A015" w14:textId="77777777" w:rsidR="007679CD" w:rsidRPr="006B6C44" w:rsidRDefault="007679CD" w:rsidP="007679CD">
            <w:pPr>
              <w:numPr>
                <w:ilvl w:val="0"/>
                <w:numId w:val="34"/>
              </w:numPr>
              <w:contextualSpacing/>
              <w:rPr>
                <w:sz w:val="24"/>
                <w:szCs w:val="24"/>
              </w:rPr>
            </w:pPr>
            <w:r w:rsidRPr="006B6C44">
              <w:rPr>
                <w:sz w:val="24"/>
                <w:szCs w:val="24"/>
              </w:rPr>
              <w:t>Sabatier, P. and Mazmanian, D., “A Conceptual Framework of the Implementation Process.” (Brightspace)</w:t>
            </w:r>
          </w:p>
          <w:p w14:paraId="3D4180CC" w14:textId="272CEFBB" w:rsidR="00185D2A" w:rsidRDefault="007679CD" w:rsidP="007679CD">
            <w:pPr>
              <w:numPr>
                <w:ilvl w:val="0"/>
                <w:numId w:val="34"/>
              </w:numPr>
              <w:contextualSpacing/>
              <w:rPr>
                <w:sz w:val="24"/>
                <w:szCs w:val="24"/>
              </w:rPr>
            </w:pPr>
            <w:r w:rsidRPr="006B6C44">
              <w:rPr>
                <w:sz w:val="24"/>
                <w:szCs w:val="24"/>
              </w:rPr>
              <w:t xml:space="preserve">Podcast: The Ezra Klein Show, The Book I Wish Every Policymaker Would Read. June 6, 2023. </w:t>
            </w:r>
            <w:hyperlink r:id="rId19" w:history="1">
              <w:r w:rsidRPr="006B6C44">
                <w:rPr>
                  <w:color w:val="0563C1" w:themeColor="hyperlink"/>
                  <w:sz w:val="24"/>
                  <w:szCs w:val="24"/>
                  <w:u w:val="single"/>
                </w:rPr>
                <w:t>https://podcasts.apple.com/us/podcast/the-book-i-wish-every-policymaker-would-read/id1548604447?i=1000615839464</w:t>
              </w:r>
            </w:hyperlink>
            <w:r w:rsidRPr="006B6C44">
              <w:rPr>
                <w:sz w:val="24"/>
                <w:szCs w:val="24"/>
              </w:rPr>
              <w:t xml:space="preserve"> </w:t>
            </w:r>
          </w:p>
          <w:p w14:paraId="0259CC42" w14:textId="235954A3" w:rsidR="00185D2A" w:rsidRPr="00590AFC" w:rsidRDefault="00185D2A" w:rsidP="007679CD">
            <w:pPr>
              <w:contextualSpacing/>
              <w:rPr>
                <w:rFonts w:eastAsia="Arial"/>
                <w:sz w:val="24"/>
                <w:szCs w:val="24"/>
              </w:rPr>
            </w:pPr>
            <w:bookmarkStart w:id="6" w:name="_GoBack"/>
            <w:bookmarkEnd w:id="6"/>
          </w:p>
        </w:tc>
      </w:tr>
      <w:tr w:rsidR="006B6C44" w:rsidRPr="006B6C44" w14:paraId="2DB3280C" w14:textId="77777777" w:rsidTr="00201752">
        <w:tc>
          <w:tcPr>
            <w:tcW w:w="1980" w:type="dxa"/>
          </w:tcPr>
          <w:p w14:paraId="244A8148" w14:textId="3BAD66FB" w:rsidR="006B6C44" w:rsidRPr="006B6C44" w:rsidRDefault="006B6C44" w:rsidP="006B6C44">
            <w:pPr>
              <w:spacing w:line="276" w:lineRule="auto"/>
              <w:rPr>
                <w:rFonts w:eastAsia="Arial"/>
                <w:sz w:val="24"/>
                <w:szCs w:val="24"/>
              </w:rPr>
            </w:pPr>
            <w:r w:rsidRPr="006B6C44">
              <w:rPr>
                <w:rFonts w:eastAsia="Arial"/>
                <w:sz w:val="24"/>
                <w:szCs w:val="24"/>
              </w:rPr>
              <w:lastRenderedPageBreak/>
              <w:t xml:space="preserve">November </w:t>
            </w:r>
            <w:r w:rsidR="006901F7">
              <w:rPr>
                <w:rFonts w:eastAsia="Arial"/>
                <w:sz w:val="24"/>
                <w:szCs w:val="24"/>
              </w:rPr>
              <w:t>14</w:t>
            </w:r>
            <w:r w:rsidRPr="006B6C44">
              <w:rPr>
                <w:rFonts w:eastAsia="Arial"/>
                <w:sz w:val="24"/>
                <w:szCs w:val="24"/>
              </w:rPr>
              <w:tab/>
            </w:r>
          </w:p>
        </w:tc>
        <w:tc>
          <w:tcPr>
            <w:tcW w:w="8100" w:type="dxa"/>
          </w:tcPr>
          <w:p w14:paraId="3EF4490B" w14:textId="77777777" w:rsidR="00074CB3" w:rsidRPr="00C62729" w:rsidRDefault="00074CB3" w:rsidP="00074CB3">
            <w:pPr>
              <w:pBdr>
                <w:top w:val="none" w:sz="0" w:space="0" w:color="auto"/>
                <w:left w:val="none" w:sz="0" w:space="0" w:color="auto"/>
                <w:bottom w:val="none" w:sz="0" w:space="0" w:color="auto"/>
                <w:right w:val="none" w:sz="0" w:space="0" w:color="auto"/>
                <w:between w:val="none" w:sz="0" w:space="0" w:color="auto"/>
              </w:pBdr>
              <w:rPr>
                <w:rFonts w:eastAsia="Arial"/>
                <w:b/>
                <w:color w:val="auto"/>
                <w:sz w:val="24"/>
                <w:szCs w:val="24"/>
                <w:lang w:val="en-US"/>
              </w:rPr>
            </w:pPr>
            <w:r w:rsidRPr="00C62729">
              <w:rPr>
                <w:rFonts w:eastAsia="Arial"/>
                <w:b/>
                <w:color w:val="auto"/>
                <w:sz w:val="24"/>
                <w:szCs w:val="24"/>
                <w:lang w:val="en-US"/>
              </w:rPr>
              <w:t>Ethics and Policymaking</w:t>
            </w:r>
          </w:p>
          <w:p w14:paraId="3CA2F09B" w14:textId="77777777" w:rsidR="00074CB3" w:rsidRPr="00C62729" w:rsidRDefault="00074CB3" w:rsidP="00074CB3">
            <w:pPr>
              <w:numPr>
                <w:ilvl w:val="0"/>
                <w:numId w:val="31"/>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rPr>
                <w:color w:val="auto"/>
                <w:sz w:val="24"/>
                <w:szCs w:val="24"/>
                <w:lang w:val="en-US"/>
              </w:rPr>
            </w:pPr>
            <w:r w:rsidRPr="00C62729">
              <w:rPr>
                <w:color w:val="auto"/>
                <w:sz w:val="24"/>
                <w:szCs w:val="24"/>
                <w:lang w:val="en-US"/>
              </w:rPr>
              <w:t xml:space="preserve">A Duty to Leak? Purchase Case from </w:t>
            </w:r>
            <w:hyperlink r:id="rId20" w:history="1">
              <w:r w:rsidRPr="00C62729">
                <w:rPr>
                  <w:color w:val="0563C1" w:themeColor="hyperlink"/>
                  <w:sz w:val="24"/>
                  <w:szCs w:val="24"/>
                  <w:u w:val="single"/>
                  <w:lang w:val="en-US"/>
                </w:rPr>
                <w:t>https://case.hks.harvard.edu/a-duty-to-leak/</w:t>
              </w:r>
            </w:hyperlink>
            <w:r w:rsidRPr="00C62729">
              <w:rPr>
                <w:color w:val="auto"/>
                <w:sz w:val="24"/>
                <w:szCs w:val="24"/>
                <w:lang w:val="en-US"/>
              </w:rPr>
              <w:t>.</w:t>
            </w:r>
          </w:p>
          <w:p w14:paraId="51F53A55" w14:textId="77777777" w:rsidR="00074CB3" w:rsidRPr="00C62729" w:rsidRDefault="00074CB3" w:rsidP="00074CB3">
            <w:pPr>
              <w:numPr>
                <w:ilvl w:val="0"/>
                <w:numId w:val="31"/>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rPr>
                <w:color w:val="auto"/>
                <w:sz w:val="24"/>
                <w:szCs w:val="24"/>
                <w:lang w:val="en-US"/>
              </w:rPr>
            </w:pPr>
            <w:r w:rsidRPr="00C62729">
              <w:rPr>
                <w:color w:val="auto"/>
                <w:sz w:val="24"/>
                <w:szCs w:val="24"/>
                <w:lang w:val="en-US"/>
              </w:rPr>
              <w:t>Rosemary O’Leary, 2010, “Guerrilla Employees: Should Managers Nurture, Tolerate, or Terminate Them?” Public Administration Review 70(1): 8-19. (Brightspace)</w:t>
            </w:r>
          </w:p>
          <w:p w14:paraId="47CBA86B" w14:textId="77777777" w:rsidR="00074CB3" w:rsidRPr="00523696" w:rsidRDefault="00074CB3" w:rsidP="00074CB3">
            <w:pPr>
              <w:pStyle w:val="ListParagraph"/>
              <w:numPr>
                <w:ilvl w:val="0"/>
                <w:numId w:val="31"/>
              </w:numPr>
              <w:rPr>
                <w:rFonts w:eastAsia="Arial"/>
                <w:sz w:val="24"/>
              </w:rPr>
            </w:pPr>
            <w:proofErr w:type="spellStart"/>
            <w:r w:rsidRPr="00C62729">
              <w:rPr>
                <w:sz w:val="24"/>
                <w:lang w:val="en-US"/>
              </w:rPr>
              <w:t>Sigal</w:t>
            </w:r>
            <w:proofErr w:type="spellEnd"/>
            <w:r w:rsidRPr="00C62729">
              <w:rPr>
                <w:sz w:val="24"/>
                <w:lang w:val="en-US"/>
              </w:rPr>
              <w:t xml:space="preserve"> Samuel, “Why it’s so damn hard to make AI fair and unbiased,” Vox April 2022. </w:t>
            </w:r>
            <w:hyperlink r:id="rId21" w:history="1">
              <w:r w:rsidRPr="00C62729">
                <w:rPr>
                  <w:color w:val="0563C1" w:themeColor="hyperlink"/>
                  <w:sz w:val="24"/>
                  <w:u w:val="single"/>
                  <w:lang w:val="en-US"/>
                </w:rPr>
                <w:t>https://www.vox.com/future-perfect/22916602/ai-bias-fairness-tradeoffs-artificial-intelligence</w:t>
              </w:r>
            </w:hyperlink>
          </w:p>
          <w:p w14:paraId="1B808D23" w14:textId="297EFCB7" w:rsidR="006B6C44" w:rsidRPr="00590AFC" w:rsidRDefault="006B6C44" w:rsidP="00074CB3">
            <w:pPr>
              <w:contextualSpacing/>
              <w:rPr>
                <w:rFonts w:eastAsia="Arial"/>
                <w:b/>
              </w:rPr>
            </w:pPr>
          </w:p>
        </w:tc>
      </w:tr>
      <w:tr w:rsidR="006B6C44" w:rsidRPr="006B6C44" w14:paraId="2B79F34D" w14:textId="77777777" w:rsidTr="00201752">
        <w:tc>
          <w:tcPr>
            <w:tcW w:w="1980" w:type="dxa"/>
          </w:tcPr>
          <w:p w14:paraId="4D140DE7" w14:textId="715558D0" w:rsidR="006B6C44" w:rsidRPr="006B6C44" w:rsidRDefault="006B6C44" w:rsidP="006B6C44">
            <w:pPr>
              <w:spacing w:line="276" w:lineRule="auto"/>
              <w:rPr>
                <w:rFonts w:eastAsia="Arial"/>
                <w:sz w:val="24"/>
                <w:szCs w:val="24"/>
              </w:rPr>
            </w:pPr>
            <w:r w:rsidRPr="006B6C44">
              <w:rPr>
                <w:rFonts w:eastAsia="Arial"/>
                <w:sz w:val="24"/>
                <w:szCs w:val="24"/>
              </w:rPr>
              <w:t>November 2</w:t>
            </w:r>
            <w:r w:rsidR="006901F7">
              <w:rPr>
                <w:rFonts w:eastAsia="Arial"/>
                <w:sz w:val="24"/>
                <w:szCs w:val="24"/>
              </w:rPr>
              <w:t>1</w:t>
            </w:r>
            <w:r w:rsidRPr="006B6C44">
              <w:rPr>
                <w:rFonts w:eastAsia="Arial"/>
                <w:sz w:val="24"/>
                <w:szCs w:val="24"/>
              </w:rPr>
              <w:tab/>
            </w:r>
          </w:p>
          <w:p w14:paraId="156643F1" w14:textId="77777777" w:rsidR="006B6C44" w:rsidRPr="006B6C44" w:rsidRDefault="006B6C44" w:rsidP="006B6C44">
            <w:pPr>
              <w:spacing w:line="276" w:lineRule="auto"/>
              <w:rPr>
                <w:rFonts w:eastAsia="Arial"/>
                <w:sz w:val="24"/>
                <w:szCs w:val="24"/>
              </w:rPr>
            </w:pPr>
            <w:r w:rsidRPr="006B6C44">
              <w:rPr>
                <w:rFonts w:eastAsia="Arial"/>
                <w:sz w:val="24"/>
                <w:szCs w:val="24"/>
              </w:rPr>
              <w:tab/>
            </w:r>
          </w:p>
        </w:tc>
        <w:tc>
          <w:tcPr>
            <w:tcW w:w="8100" w:type="dxa"/>
          </w:tcPr>
          <w:p w14:paraId="21971555" w14:textId="61C64433" w:rsidR="00074CB3" w:rsidRPr="00074CB3" w:rsidRDefault="00074CB3" w:rsidP="00074CB3">
            <w:pPr>
              <w:tabs>
                <w:tab w:val="left" w:pos="720"/>
                <w:tab w:val="left" w:pos="1200"/>
              </w:tabs>
              <w:rPr>
                <w:b/>
                <w:sz w:val="24"/>
              </w:rPr>
            </w:pPr>
            <w:r w:rsidRPr="00074CB3">
              <w:rPr>
                <w:b/>
                <w:sz w:val="24"/>
              </w:rPr>
              <w:t>Strategic Litigation and Judicialization of Politics</w:t>
            </w:r>
          </w:p>
          <w:p w14:paraId="3C1A25BC" w14:textId="19A4FF39" w:rsidR="00074CB3" w:rsidRPr="00933CAF" w:rsidRDefault="00074CB3" w:rsidP="00933CAF">
            <w:pPr>
              <w:pStyle w:val="ListParagraph"/>
              <w:numPr>
                <w:ilvl w:val="0"/>
                <w:numId w:val="40"/>
              </w:numPr>
              <w:rPr>
                <w:sz w:val="24"/>
                <w:szCs w:val="24"/>
              </w:rPr>
            </w:pPr>
            <w:r w:rsidRPr="00933CAF">
              <w:rPr>
                <w:sz w:val="24"/>
                <w:szCs w:val="24"/>
              </w:rPr>
              <w:t xml:space="preserve">Law School for Everyone. </w:t>
            </w:r>
            <w:hyperlink r:id="rId22" w:history="1">
              <w:r w:rsidRPr="00933CAF">
                <w:rPr>
                  <w:rStyle w:val="Hyperlink"/>
                  <w:sz w:val="24"/>
                  <w:szCs w:val="24"/>
                </w:rPr>
                <w:t>“Episode 1: Litigation and the American Legal System.”</w:t>
              </w:r>
            </w:hyperlink>
            <w:r w:rsidRPr="00933CAF">
              <w:rPr>
                <w:sz w:val="24"/>
                <w:szCs w:val="24"/>
              </w:rPr>
              <w:br/>
              <w:t>https://nyu.kanopy.com/video/litigation-and-american-legal-system</w:t>
            </w:r>
          </w:p>
          <w:p w14:paraId="38AEE8EA" w14:textId="0694353B" w:rsidR="00933CAF" w:rsidRPr="00933CAF" w:rsidRDefault="00933CAF" w:rsidP="00933CAF">
            <w:pPr>
              <w:pStyle w:val="ListParagraph"/>
              <w:numPr>
                <w:ilvl w:val="0"/>
                <w:numId w:val="40"/>
              </w:numPr>
              <w:rPr>
                <w:sz w:val="24"/>
                <w:szCs w:val="24"/>
              </w:rPr>
            </w:pPr>
            <w:r w:rsidRPr="00933CAF">
              <w:rPr>
                <w:sz w:val="24"/>
                <w:szCs w:val="24"/>
              </w:rPr>
              <w:t xml:space="preserve">WNYC On </w:t>
            </w:r>
            <w:proofErr w:type="gramStart"/>
            <w:r w:rsidRPr="00933CAF">
              <w:rPr>
                <w:sz w:val="24"/>
                <w:szCs w:val="24"/>
              </w:rPr>
              <w:t>The</w:t>
            </w:r>
            <w:proofErr w:type="gramEnd"/>
            <w:r w:rsidRPr="00933CAF">
              <w:rPr>
                <w:sz w:val="24"/>
                <w:szCs w:val="24"/>
              </w:rPr>
              <w:t xml:space="preserve"> Media (2015). </w:t>
            </w:r>
            <w:hyperlink r:id="rId23" w:history="1">
              <w:r w:rsidRPr="00933CAF">
                <w:rPr>
                  <w:rStyle w:val="Hyperlink"/>
                  <w:sz w:val="24"/>
                  <w:szCs w:val="24"/>
                </w:rPr>
                <w:t>“Plaintiff Shopping.”</w:t>
              </w:r>
            </w:hyperlink>
            <w:r w:rsidRPr="00933CAF">
              <w:rPr>
                <w:sz w:val="24"/>
                <w:szCs w:val="24"/>
              </w:rPr>
              <w:t xml:space="preserve"> </w:t>
            </w:r>
          </w:p>
          <w:p w14:paraId="6AB8B8A8" w14:textId="77777777" w:rsidR="00F800AD" w:rsidRPr="00933CAF" w:rsidRDefault="00185D2A" w:rsidP="00933CAF">
            <w:pPr>
              <w:pStyle w:val="ListParagraph"/>
              <w:numPr>
                <w:ilvl w:val="0"/>
                <w:numId w:val="40"/>
              </w:numPr>
            </w:pPr>
            <w:hyperlink r:id="rId24" w:history="1">
              <w:r w:rsidR="00933CAF" w:rsidRPr="00933CAF">
                <w:rPr>
                  <w:rStyle w:val="Hyperlink"/>
                  <w:sz w:val="24"/>
                  <w:szCs w:val="24"/>
                </w:rPr>
                <w:t>“We Don’t Talk About Leonard: The Man Behind the Right’s Supreme Court Supermajority,”</w:t>
              </w:r>
            </w:hyperlink>
            <w:r w:rsidR="00933CAF" w:rsidRPr="00933CAF">
              <w:rPr>
                <w:sz w:val="24"/>
                <w:szCs w:val="24"/>
              </w:rPr>
              <w:t xml:space="preserve"> WNYC On the Media Podcast. Episode 1</w:t>
            </w:r>
          </w:p>
          <w:p w14:paraId="0637F335" w14:textId="46594BAB" w:rsidR="00933CAF" w:rsidRPr="00933CAF" w:rsidRDefault="00933CAF" w:rsidP="00933CAF">
            <w:pPr>
              <w:pStyle w:val="ListParagraph"/>
            </w:pPr>
          </w:p>
        </w:tc>
      </w:tr>
      <w:tr w:rsidR="006B6C44" w:rsidRPr="006B6C44" w14:paraId="2C56655B" w14:textId="77777777" w:rsidTr="00201752">
        <w:tc>
          <w:tcPr>
            <w:tcW w:w="1980" w:type="dxa"/>
          </w:tcPr>
          <w:p w14:paraId="0077898C" w14:textId="0772A2AA" w:rsidR="006B6C44" w:rsidRPr="006B6C44" w:rsidRDefault="006B6C44" w:rsidP="006B6C44">
            <w:pPr>
              <w:spacing w:line="276" w:lineRule="auto"/>
              <w:rPr>
                <w:rFonts w:eastAsia="Arial"/>
                <w:sz w:val="24"/>
                <w:szCs w:val="24"/>
              </w:rPr>
            </w:pPr>
            <w:r w:rsidRPr="006B6C44">
              <w:rPr>
                <w:rFonts w:eastAsia="Arial"/>
                <w:sz w:val="24"/>
                <w:szCs w:val="24"/>
              </w:rPr>
              <w:t xml:space="preserve">November </w:t>
            </w:r>
            <w:r w:rsidR="006901F7">
              <w:rPr>
                <w:rFonts w:eastAsia="Arial"/>
                <w:sz w:val="24"/>
                <w:szCs w:val="24"/>
              </w:rPr>
              <w:t>28</w:t>
            </w:r>
            <w:r w:rsidRPr="006B6C44">
              <w:rPr>
                <w:rFonts w:eastAsia="Arial"/>
                <w:sz w:val="24"/>
                <w:szCs w:val="24"/>
              </w:rPr>
              <w:tab/>
            </w:r>
          </w:p>
        </w:tc>
        <w:tc>
          <w:tcPr>
            <w:tcW w:w="8100" w:type="dxa"/>
          </w:tcPr>
          <w:p w14:paraId="0E0757CD" w14:textId="141CA1FC" w:rsidR="00C62729" w:rsidRPr="00523696" w:rsidRDefault="00523696" w:rsidP="00B71227">
            <w:pPr>
              <w:rPr>
                <w:b/>
                <w:sz w:val="24"/>
                <w:szCs w:val="24"/>
              </w:rPr>
            </w:pPr>
            <w:r w:rsidRPr="006B6C44">
              <w:rPr>
                <w:b/>
                <w:sz w:val="24"/>
                <w:szCs w:val="24"/>
              </w:rPr>
              <w:t xml:space="preserve">NO CLASS - Thanksgiving </w:t>
            </w:r>
          </w:p>
          <w:p w14:paraId="6CE1C52E" w14:textId="1E6B1B69" w:rsidR="00C62729" w:rsidRPr="006B6C44" w:rsidRDefault="00C62729" w:rsidP="00B71227">
            <w:pPr>
              <w:rPr>
                <w:rFonts w:eastAsia="Arial"/>
                <w:sz w:val="24"/>
                <w:szCs w:val="24"/>
              </w:rPr>
            </w:pPr>
          </w:p>
        </w:tc>
      </w:tr>
      <w:bookmarkEnd w:id="4"/>
      <w:tr w:rsidR="006B6C44" w:rsidRPr="006B6C44" w14:paraId="575A8868" w14:textId="77777777" w:rsidTr="00201752">
        <w:tc>
          <w:tcPr>
            <w:tcW w:w="1980" w:type="dxa"/>
          </w:tcPr>
          <w:p w14:paraId="097B206A" w14:textId="08786F42" w:rsidR="006B6C44" w:rsidRPr="006B6C44" w:rsidRDefault="006B6C44" w:rsidP="006B6C44">
            <w:pPr>
              <w:spacing w:line="276" w:lineRule="auto"/>
              <w:rPr>
                <w:rFonts w:eastAsia="Arial"/>
                <w:sz w:val="24"/>
                <w:szCs w:val="24"/>
              </w:rPr>
            </w:pPr>
            <w:r w:rsidRPr="006B6C44">
              <w:rPr>
                <w:rFonts w:eastAsia="Arial"/>
                <w:sz w:val="24"/>
                <w:szCs w:val="24"/>
              </w:rPr>
              <w:t xml:space="preserve">December </w:t>
            </w:r>
            <w:r w:rsidR="006901F7">
              <w:rPr>
                <w:rFonts w:eastAsia="Arial"/>
                <w:sz w:val="24"/>
                <w:szCs w:val="24"/>
              </w:rPr>
              <w:t>5</w:t>
            </w:r>
            <w:r w:rsidRPr="006B6C44">
              <w:rPr>
                <w:rFonts w:eastAsia="Arial"/>
                <w:sz w:val="24"/>
                <w:szCs w:val="24"/>
              </w:rPr>
              <w:tab/>
            </w:r>
          </w:p>
          <w:p w14:paraId="53973981" w14:textId="77777777" w:rsidR="006B6C44" w:rsidRPr="006B6C44" w:rsidRDefault="006B6C44" w:rsidP="006B6C44">
            <w:pPr>
              <w:spacing w:line="276" w:lineRule="auto"/>
              <w:rPr>
                <w:rFonts w:eastAsia="Arial"/>
                <w:sz w:val="24"/>
                <w:szCs w:val="24"/>
              </w:rPr>
            </w:pPr>
            <w:r w:rsidRPr="006B6C44">
              <w:rPr>
                <w:rFonts w:eastAsia="Arial"/>
                <w:sz w:val="24"/>
                <w:szCs w:val="24"/>
              </w:rPr>
              <w:tab/>
            </w:r>
          </w:p>
        </w:tc>
        <w:tc>
          <w:tcPr>
            <w:tcW w:w="8100" w:type="dxa"/>
          </w:tcPr>
          <w:p w14:paraId="510B95CC" w14:textId="77777777" w:rsidR="00590AFC" w:rsidRPr="006B6C44" w:rsidRDefault="00590AFC" w:rsidP="00590AFC">
            <w:pPr>
              <w:rPr>
                <w:rFonts w:eastAsia="Arial"/>
                <w:b/>
                <w:sz w:val="24"/>
                <w:szCs w:val="24"/>
              </w:rPr>
            </w:pPr>
            <w:r w:rsidRPr="006B6C44">
              <w:rPr>
                <w:rFonts w:eastAsia="Arial"/>
                <w:b/>
                <w:sz w:val="24"/>
                <w:szCs w:val="24"/>
              </w:rPr>
              <w:t>Evidence Based Policymaking</w:t>
            </w:r>
          </w:p>
          <w:p w14:paraId="447E8BC0" w14:textId="77777777" w:rsidR="00590AFC" w:rsidRPr="006B6C44" w:rsidRDefault="00590AFC" w:rsidP="00590AFC">
            <w:pPr>
              <w:numPr>
                <w:ilvl w:val="0"/>
                <w:numId w:val="33"/>
              </w:numPr>
              <w:contextualSpacing/>
              <w:rPr>
                <w:sz w:val="24"/>
                <w:szCs w:val="24"/>
              </w:rPr>
            </w:pPr>
            <w:r w:rsidRPr="006B6C44">
              <w:rPr>
                <w:sz w:val="24"/>
                <w:szCs w:val="24"/>
              </w:rPr>
              <w:t xml:space="preserve">Michael Callen, Adnan Khan, </w:t>
            </w:r>
            <w:proofErr w:type="spellStart"/>
            <w:r w:rsidRPr="006B6C44">
              <w:rPr>
                <w:sz w:val="24"/>
                <w:szCs w:val="24"/>
              </w:rPr>
              <w:t>Asim</w:t>
            </w:r>
            <w:proofErr w:type="spellEnd"/>
            <w:r w:rsidRPr="006B6C44">
              <w:rPr>
                <w:sz w:val="24"/>
                <w:szCs w:val="24"/>
              </w:rPr>
              <w:t xml:space="preserve"> I. </w:t>
            </w:r>
            <w:proofErr w:type="spellStart"/>
            <w:r w:rsidRPr="006B6C44">
              <w:rPr>
                <w:sz w:val="24"/>
                <w:szCs w:val="24"/>
              </w:rPr>
              <w:t>Khwaja</w:t>
            </w:r>
            <w:proofErr w:type="spellEnd"/>
            <w:r w:rsidRPr="006B6C44">
              <w:rPr>
                <w:sz w:val="24"/>
                <w:szCs w:val="24"/>
              </w:rPr>
              <w:t xml:space="preserve">, </w:t>
            </w:r>
            <w:proofErr w:type="spellStart"/>
            <w:r w:rsidRPr="006B6C44">
              <w:rPr>
                <w:sz w:val="24"/>
                <w:szCs w:val="24"/>
              </w:rPr>
              <w:t>Asad</w:t>
            </w:r>
            <w:proofErr w:type="spellEnd"/>
            <w:r w:rsidRPr="006B6C44">
              <w:rPr>
                <w:sz w:val="24"/>
                <w:szCs w:val="24"/>
              </w:rPr>
              <w:t xml:space="preserve"> Liaqat and Emily Myers, “These 3 barriers make it hard for policymakers to use the evidence that development researchers produce,” </w:t>
            </w:r>
            <w:proofErr w:type="spellStart"/>
            <w:r w:rsidRPr="006B6C44">
              <w:rPr>
                <w:sz w:val="24"/>
                <w:szCs w:val="24"/>
              </w:rPr>
              <w:t>Monkeycage</w:t>
            </w:r>
            <w:proofErr w:type="spellEnd"/>
            <w:r w:rsidRPr="006B6C44">
              <w:rPr>
                <w:sz w:val="24"/>
                <w:szCs w:val="24"/>
              </w:rPr>
              <w:t xml:space="preserve"> (Washington Post), August 17, 2017</w:t>
            </w:r>
            <w:r>
              <w:rPr>
                <w:sz w:val="24"/>
                <w:szCs w:val="24"/>
              </w:rPr>
              <w:t xml:space="preserve">. </w:t>
            </w:r>
            <w:hyperlink r:id="rId25" w:history="1">
              <w:r w:rsidRPr="0012036A">
                <w:rPr>
                  <w:rStyle w:val="Hyperlink"/>
                  <w:sz w:val="24"/>
                  <w:szCs w:val="24"/>
                </w:rPr>
                <w:t>https://www.washingtonpost.com/news/monkey-cage/wp/2017/08/13/these-3-barriers-make-it-hard-for-policymakers-to-use-the-evidence-that-development-researchers-produce/</w:t>
              </w:r>
            </w:hyperlink>
            <w:r>
              <w:rPr>
                <w:sz w:val="24"/>
                <w:szCs w:val="24"/>
              </w:rPr>
              <w:t xml:space="preserve"> </w:t>
            </w:r>
          </w:p>
          <w:p w14:paraId="45C41A05" w14:textId="77777777" w:rsidR="00590AFC" w:rsidRPr="006B6C44" w:rsidRDefault="00590AFC" w:rsidP="00590AFC">
            <w:pPr>
              <w:rPr>
                <w:rFonts w:eastAsia="Arial"/>
                <w:sz w:val="24"/>
                <w:szCs w:val="24"/>
              </w:rPr>
            </w:pPr>
          </w:p>
          <w:p w14:paraId="0F27006B" w14:textId="77777777" w:rsidR="00590AFC" w:rsidRPr="006B6C44" w:rsidRDefault="00590AFC" w:rsidP="00590AFC">
            <w:pPr>
              <w:numPr>
                <w:ilvl w:val="0"/>
                <w:numId w:val="33"/>
              </w:numPr>
              <w:contextualSpacing/>
              <w:rPr>
                <w:rFonts w:eastAsia="Arial"/>
                <w:sz w:val="24"/>
                <w:szCs w:val="24"/>
              </w:rPr>
            </w:pPr>
            <w:r w:rsidRPr="006B6C44">
              <w:rPr>
                <w:rFonts w:eastAsia="Arial"/>
                <w:sz w:val="24"/>
                <w:szCs w:val="24"/>
              </w:rPr>
              <w:t xml:space="preserve">Paul </w:t>
            </w:r>
            <w:proofErr w:type="spellStart"/>
            <w:r w:rsidRPr="006B6C44">
              <w:rPr>
                <w:rFonts w:eastAsia="Arial"/>
                <w:sz w:val="24"/>
                <w:szCs w:val="24"/>
              </w:rPr>
              <w:t>Cairney</w:t>
            </w:r>
            <w:proofErr w:type="spellEnd"/>
            <w:r w:rsidRPr="006B6C44">
              <w:rPr>
                <w:rFonts w:eastAsia="Arial"/>
                <w:sz w:val="24"/>
                <w:szCs w:val="24"/>
              </w:rPr>
              <w:t xml:space="preserve"> and Kathryn Oliver, “Evidence-based policymaking is not like evidence-based medicine, so how far should you go to bridge the divide between evidence and policy?” </w:t>
            </w:r>
            <w:hyperlink r:id="rId26" w:history="1">
              <w:r w:rsidRPr="006B6C44">
                <w:rPr>
                  <w:rFonts w:eastAsia="Arial"/>
                  <w:i/>
                  <w:iCs/>
                  <w:color w:val="0563C1" w:themeColor="hyperlink"/>
                  <w:sz w:val="24"/>
                  <w:szCs w:val="24"/>
                  <w:u w:val="single"/>
                </w:rPr>
                <w:t>Health Research Policy and Systems</w:t>
              </w:r>
            </w:hyperlink>
            <w:r w:rsidRPr="006B6C44">
              <w:rPr>
                <w:rFonts w:eastAsia="Arial"/>
                <w:sz w:val="24"/>
                <w:szCs w:val="24"/>
              </w:rPr>
              <w:t xml:space="preserve"> </w:t>
            </w:r>
            <w:r w:rsidRPr="00342F31">
              <w:rPr>
                <w:rFonts w:eastAsia="Arial"/>
                <w:bCs/>
                <w:sz w:val="24"/>
                <w:szCs w:val="24"/>
              </w:rPr>
              <w:t>volume</w:t>
            </w:r>
            <w:r w:rsidRPr="006B6C44">
              <w:rPr>
                <w:rFonts w:eastAsia="Arial"/>
                <w:bCs/>
                <w:sz w:val="24"/>
                <w:szCs w:val="24"/>
              </w:rPr>
              <w:t> 15</w:t>
            </w:r>
            <w:r w:rsidRPr="006B6C44">
              <w:rPr>
                <w:rFonts w:eastAsia="Arial"/>
                <w:sz w:val="24"/>
                <w:szCs w:val="24"/>
              </w:rPr>
              <w:t>, Article number: 35 (2017)</w:t>
            </w:r>
            <w:r>
              <w:rPr>
                <w:rFonts w:eastAsia="Arial"/>
                <w:sz w:val="24"/>
                <w:szCs w:val="24"/>
              </w:rPr>
              <w:t>. (Brightspace)</w:t>
            </w:r>
          </w:p>
          <w:p w14:paraId="6647D11A" w14:textId="77777777" w:rsidR="00590AFC" w:rsidRPr="006B6C44" w:rsidRDefault="00590AFC" w:rsidP="00590AFC">
            <w:pPr>
              <w:rPr>
                <w:rFonts w:eastAsia="Arial"/>
                <w:sz w:val="24"/>
                <w:szCs w:val="24"/>
              </w:rPr>
            </w:pPr>
          </w:p>
          <w:p w14:paraId="76EEB87D" w14:textId="77777777" w:rsidR="006B6C44" w:rsidRPr="00590AFC" w:rsidRDefault="00590AFC" w:rsidP="00590AFC">
            <w:pPr>
              <w:pStyle w:val="ListParagraph"/>
              <w:numPr>
                <w:ilvl w:val="0"/>
                <w:numId w:val="33"/>
              </w:numPr>
              <w:rPr>
                <w:rFonts w:eastAsia="Arial"/>
              </w:rPr>
            </w:pPr>
            <w:r w:rsidRPr="00590AFC">
              <w:rPr>
                <w:rFonts w:eastAsia="Arial"/>
                <w:sz w:val="24"/>
              </w:rPr>
              <w:t xml:space="preserve">Kristin Anderson Moore, Brett V. Brown, and Harriet J. </w:t>
            </w:r>
            <w:proofErr w:type="spellStart"/>
            <w:r w:rsidRPr="00590AFC">
              <w:rPr>
                <w:rFonts w:eastAsia="Arial"/>
                <w:sz w:val="24"/>
              </w:rPr>
              <w:t>Scarupa</w:t>
            </w:r>
            <w:proofErr w:type="spellEnd"/>
            <w:r w:rsidRPr="00590AFC">
              <w:rPr>
                <w:rFonts w:eastAsia="Arial"/>
                <w:sz w:val="24"/>
              </w:rPr>
              <w:t>, 2003, “The Uses (and Misuses) of Social Indicators: Implications for Public Policy,” Child Trends Research Brief #2003-01(Brightspace)</w:t>
            </w:r>
          </w:p>
          <w:p w14:paraId="3F289B55" w14:textId="77777777" w:rsidR="00590AFC" w:rsidRPr="00590AFC" w:rsidRDefault="00590AFC" w:rsidP="00590AFC">
            <w:pPr>
              <w:pStyle w:val="ListParagraph"/>
              <w:rPr>
                <w:rFonts w:eastAsia="Arial"/>
              </w:rPr>
            </w:pPr>
          </w:p>
          <w:p w14:paraId="00E11E78" w14:textId="60E2C6BA" w:rsidR="00590AFC" w:rsidRPr="00590AFC" w:rsidRDefault="00590AFC" w:rsidP="00590AFC">
            <w:pPr>
              <w:pStyle w:val="ListParagraph"/>
              <w:rPr>
                <w:rFonts w:eastAsia="Arial"/>
              </w:rPr>
            </w:pPr>
          </w:p>
        </w:tc>
      </w:tr>
      <w:tr w:rsidR="006B6C44" w:rsidRPr="006B6C44" w14:paraId="471ED88B" w14:textId="77777777" w:rsidTr="00201752">
        <w:tc>
          <w:tcPr>
            <w:tcW w:w="1980" w:type="dxa"/>
          </w:tcPr>
          <w:p w14:paraId="472FDB11" w14:textId="44392607" w:rsidR="006B6C44" w:rsidRPr="006B6C44" w:rsidRDefault="006B6C44" w:rsidP="006B6C44">
            <w:pPr>
              <w:spacing w:line="276" w:lineRule="auto"/>
              <w:rPr>
                <w:rFonts w:eastAsia="Arial"/>
                <w:sz w:val="24"/>
                <w:szCs w:val="24"/>
              </w:rPr>
            </w:pPr>
            <w:r w:rsidRPr="006B6C44">
              <w:rPr>
                <w:rFonts w:eastAsia="Arial"/>
                <w:sz w:val="24"/>
                <w:szCs w:val="24"/>
              </w:rPr>
              <w:t>December 1</w:t>
            </w:r>
            <w:r w:rsidR="006901F7">
              <w:rPr>
                <w:rFonts w:eastAsia="Arial"/>
                <w:sz w:val="24"/>
                <w:szCs w:val="24"/>
              </w:rPr>
              <w:t>2</w:t>
            </w:r>
          </w:p>
        </w:tc>
        <w:tc>
          <w:tcPr>
            <w:tcW w:w="8100" w:type="dxa"/>
          </w:tcPr>
          <w:p w14:paraId="1C5C89C6" w14:textId="77777777" w:rsidR="006B6C44" w:rsidRDefault="00590AFC" w:rsidP="00590AFC">
            <w:pPr>
              <w:contextualSpacing/>
              <w:rPr>
                <w:rFonts w:eastAsia="Arial"/>
                <w:b/>
                <w:sz w:val="24"/>
                <w:szCs w:val="24"/>
              </w:rPr>
            </w:pPr>
            <w:r w:rsidRPr="00590AFC">
              <w:rPr>
                <w:rFonts w:eastAsia="Arial"/>
                <w:b/>
                <w:sz w:val="24"/>
                <w:szCs w:val="24"/>
              </w:rPr>
              <w:t>Reflecting on Public Policy in Our Current Moment</w:t>
            </w:r>
          </w:p>
          <w:p w14:paraId="1B23CA91" w14:textId="251E1FC3" w:rsidR="00590AFC" w:rsidRPr="00590AFC" w:rsidRDefault="00590AFC" w:rsidP="00590AFC">
            <w:pPr>
              <w:contextualSpacing/>
              <w:rPr>
                <w:rFonts w:eastAsia="Arial"/>
                <w:b/>
                <w:sz w:val="24"/>
                <w:szCs w:val="24"/>
              </w:rPr>
            </w:pPr>
          </w:p>
        </w:tc>
      </w:tr>
      <w:bookmarkEnd w:id="5"/>
    </w:tbl>
    <w:p w14:paraId="44FA5ECD" w14:textId="77777777" w:rsidR="00201752" w:rsidRDefault="00201752"/>
    <w:sectPr w:rsidR="00201752">
      <w:footerReference w:type="default" r:id="rId2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7AAA6" w14:textId="77777777" w:rsidR="00201752" w:rsidRDefault="00201752">
      <w:r>
        <w:separator/>
      </w:r>
    </w:p>
  </w:endnote>
  <w:endnote w:type="continuationSeparator" w:id="0">
    <w:p w14:paraId="3A6CB3E6" w14:textId="77777777" w:rsidR="00201752" w:rsidRDefault="00201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8CFFE" w14:textId="77777777" w:rsidR="00201752" w:rsidRPr="00B144A3" w:rsidRDefault="004F30D6" w:rsidP="00201752">
    <w:pPr>
      <w:pStyle w:val="Footer"/>
      <w:jc w:val="center"/>
    </w:pPr>
    <w:r w:rsidRPr="00B144A3">
      <w:t xml:space="preserve">Page </w:t>
    </w:r>
    <w:r w:rsidRPr="00B144A3">
      <w:fldChar w:fldCharType="begin"/>
    </w:r>
    <w:r w:rsidRPr="00B144A3">
      <w:instrText xml:space="preserve"> PAGE   \* MERGEFORMAT </w:instrText>
    </w:r>
    <w:r w:rsidRPr="00B144A3">
      <w:fldChar w:fldCharType="separate"/>
    </w:r>
    <w:r>
      <w:rPr>
        <w:noProof/>
      </w:rPr>
      <w:t>11</w:t>
    </w:r>
    <w:r w:rsidRPr="00B144A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4A8EC" w14:textId="77777777" w:rsidR="00201752" w:rsidRDefault="00201752">
      <w:r>
        <w:separator/>
      </w:r>
    </w:p>
  </w:footnote>
  <w:footnote w:type="continuationSeparator" w:id="0">
    <w:p w14:paraId="010B579C" w14:textId="77777777" w:rsidR="00201752" w:rsidRDefault="00201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86B29"/>
    <w:multiLevelType w:val="hybridMultilevel"/>
    <w:tmpl w:val="C9C4E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67C53"/>
    <w:multiLevelType w:val="hybridMultilevel"/>
    <w:tmpl w:val="B36CA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2232C"/>
    <w:multiLevelType w:val="hybridMultilevel"/>
    <w:tmpl w:val="0922B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70E9E"/>
    <w:multiLevelType w:val="hybridMultilevel"/>
    <w:tmpl w:val="C8D0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F10AE"/>
    <w:multiLevelType w:val="hybridMultilevel"/>
    <w:tmpl w:val="3312A1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C6D2B"/>
    <w:multiLevelType w:val="hybridMultilevel"/>
    <w:tmpl w:val="A134AF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03883"/>
    <w:multiLevelType w:val="hybridMultilevel"/>
    <w:tmpl w:val="841A4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A0346"/>
    <w:multiLevelType w:val="hybridMultilevel"/>
    <w:tmpl w:val="747AF9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342D5"/>
    <w:multiLevelType w:val="hybridMultilevel"/>
    <w:tmpl w:val="57EEC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D5924"/>
    <w:multiLevelType w:val="hybridMultilevel"/>
    <w:tmpl w:val="FBBE3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B6705"/>
    <w:multiLevelType w:val="hybridMultilevel"/>
    <w:tmpl w:val="064C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5A71A9"/>
    <w:multiLevelType w:val="hybridMultilevel"/>
    <w:tmpl w:val="855CC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405B25"/>
    <w:multiLevelType w:val="hybridMultilevel"/>
    <w:tmpl w:val="A3A20D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456F4"/>
    <w:multiLevelType w:val="hybridMultilevel"/>
    <w:tmpl w:val="B5D2E5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A540D5"/>
    <w:multiLevelType w:val="hybridMultilevel"/>
    <w:tmpl w:val="FD5690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424D4A"/>
    <w:multiLevelType w:val="hybridMultilevel"/>
    <w:tmpl w:val="A560ED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4D79B6"/>
    <w:multiLevelType w:val="hybridMultilevel"/>
    <w:tmpl w:val="1B3635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9528C"/>
    <w:multiLevelType w:val="multilevel"/>
    <w:tmpl w:val="02DA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9859EF"/>
    <w:multiLevelType w:val="hybridMultilevel"/>
    <w:tmpl w:val="FE34D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9013F"/>
    <w:multiLevelType w:val="hybridMultilevel"/>
    <w:tmpl w:val="0674E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3E329B"/>
    <w:multiLevelType w:val="hybridMultilevel"/>
    <w:tmpl w:val="17B856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865C4F"/>
    <w:multiLevelType w:val="hybridMultilevel"/>
    <w:tmpl w:val="F684D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4A558B"/>
    <w:multiLevelType w:val="hybridMultilevel"/>
    <w:tmpl w:val="18BE7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CC4A4B"/>
    <w:multiLevelType w:val="hybridMultilevel"/>
    <w:tmpl w:val="DAFA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E04678"/>
    <w:multiLevelType w:val="hybridMultilevel"/>
    <w:tmpl w:val="51E2D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396635"/>
    <w:multiLevelType w:val="multilevel"/>
    <w:tmpl w:val="A1246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C7161F"/>
    <w:multiLevelType w:val="hybridMultilevel"/>
    <w:tmpl w:val="ACCA5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6954C5"/>
    <w:multiLevelType w:val="multilevel"/>
    <w:tmpl w:val="9624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C42BB6"/>
    <w:multiLevelType w:val="hybridMultilevel"/>
    <w:tmpl w:val="5CCEE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677FEB"/>
    <w:multiLevelType w:val="hybridMultilevel"/>
    <w:tmpl w:val="AB16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F477A1"/>
    <w:multiLevelType w:val="hybridMultilevel"/>
    <w:tmpl w:val="CA14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44435E"/>
    <w:multiLevelType w:val="hybridMultilevel"/>
    <w:tmpl w:val="46EA0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28015A"/>
    <w:multiLevelType w:val="hybridMultilevel"/>
    <w:tmpl w:val="04F8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442239"/>
    <w:multiLevelType w:val="hybridMultilevel"/>
    <w:tmpl w:val="471E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63097B"/>
    <w:multiLevelType w:val="hybridMultilevel"/>
    <w:tmpl w:val="C3901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B55A41"/>
    <w:multiLevelType w:val="hybridMultilevel"/>
    <w:tmpl w:val="5B88EA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332C15"/>
    <w:multiLevelType w:val="hybridMultilevel"/>
    <w:tmpl w:val="C4104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3A4281"/>
    <w:multiLevelType w:val="hybridMultilevel"/>
    <w:tmpl w:val="01F8DB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E444DF"/>
    <w:multiLevelType w:val="hybridMultilevel"/>
    <w:tmpl w:val="CF9E82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36"/>
  </w:num>
  <w:num w:numId="5">
    <w:abstractNumId w:val="11"/>
  </w:num>
  <w:num w:numId="6">
    <w:abstractNumId w:val="28"/>
  </w:num>
  <w:num w:numId="7">
    <w:abstractNumId w:val="15"/>
  </w:num>
  <w:num w:numId="8">
    <w:abstractNumId w:val="32"/>
  </w:num>
  <w:num w:numId="9">
    <w:abstractNumId w:val="22"/>
  </w:num>
  <w:num w:numId="10">
    <w:abstractNumId w:val="30"/>
  </w:num>
  <w:num w:numId="11">
    <w:abstractNumId w:val="9"/>
  </w:num>
  <w:num w:numId="12">
    <w:abstractNumId w:val="29"/>
  </w:num>
  <w:num w:numId="13">
    <w:abstractNumId w:val="1"/>
  </w:num>
  <w:num w:numId="14">
    <w:abstractNumId w:val="2"/>
  </w:num>
  <w:num w:numId="15">
    <w:abstractNumId w:val="26"/>
  </w:num>
  <w:num w:numId="16">
    <w:abstractNumId w:val="33"/>
  </w:num>
  <w:num w:numId="17">
    <w:abstractNumId w:val="34"/>
  </w:num>
  <w:num w:numId="18">
    <w:abstractNumId w:val="21"/>
  </w:num>
  <w:num w:numId="19">
    <w:abstractNumId w:val="17"/>
  </w:num>
  <w:num w:numId="20">
    <w:abstractNumId w:val="27"/>
  </w:num>
  <w:num w:numId="21">
    <w:abstractNumId w:val="3"/>
  </w:num>
  <w:num w:numId="22">
    <w:abstractNumId w:val="0"/>
  </w:num>
  <w:num w:numId="23">
    <w:abstractNumId w:val="31"/>
  </w:num>
  <w:num w:numId="24">
    <w:abstractNumId w:val="23"/>
  </w:num>
  <w:num w:numId="25">
    <w:abstractNumId w:val="7"/>
  </w:num>
  <w:num w:numId="26">
    <w:abstractNumId w:val="19"/>
  </w:num>
  <w:num w:numId="27">
    <w:abstractNumId w:val="16"/>
  </w:num>
  <w:num w:numId="28">
    <w:abstractNumId w:val="12"/>
  </w:num>
  <w:num w:numId="29">
    <w:abstractNumId w:val="35"/>
  </w:num>
  <w:num w:numId="30">
    <w:abstractNumId w:val="20"/>
  </w:num>
  <w:num w:numId="31">
    <w:abstractNumId w:val="5"/>
  </w:num>
  <w:num w:numId="32">
    <w:abstractNumId w:val="37"/>
  </w:num>
  <w:num w:numId="33">
    <w:abstractNumId w:val="13"/>
  </w:num>
  <w:num w:numId="34">
    <w:abstractNumId w:val="18"/>
  </w:num>
  <w:num w:numId="35">
    <w:abstractNumId w:val="14"/>
  </w:num>
  <w:num w:numId="36">
    <w:abstractNumId w:val="24"/>
  </w:num>
  <w:num w:numId="37">
    <w:abstractNumId w:val="25"/>
  </w:num>
  <w:num w:numId="38">
    <w:abstractNumId w:val="38"/>
  </w:num>
  <w:num w:numId="39">
    <w:abstractNumId w:val="0"/>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7C6"/>
    <w:rsid w:val="00031BB0"/>
    <w:rsid w:val="00047785"/>
    <w:rsid w:val="00066758"/>
    <w:rsid w:val="00070712"/>
    <w:rsid w:val="00074CB3"/>
    <w:rsid w:val="00076300"/>
    <w:rsid w:val="000A0242"/>
    <w:rsid w:val="000D24C5"/>
    <w:rsid w:val="0012036A"/>
    <w:rsid w:val="001655B7"/>
    <w:rsid w:val="00167529"/>
    <w:rsid w:val="00185D2A"/>
    <w:rsid w:val="001A797D"/>
    <w:rsid w:val="001D3B20"/>
    <w:rsid w:val="001E74D8"/>
    <w:rsid w:val="00201752"/>
    <w:rsid w:val="00213389"/>
    <w:rsid w:val="00237CF2"/>
    <w:rsid w:val="002416F3"/>
    <w:rsid w:val="0025343A"/>
    <w:rsid w:val="00255CE5"/>
    <w:rsid w:val="00290D64"/>
    <w:rsid w:val="002B202D"/>
    <w:rsid w:val="002F14A0"/>
    <w:rsid w:val="002F6446"/>
    <w:rsid w:val="00316C5E"/>
    <w:rsid w:val="00342F31"/>
    <w:rsid w:val="00344ED6"/>
    <w:rsid w:val="003F04A6"/>
    <w:rsid w:val="004C086B"/>
    <w:rsid w:val="004C7A45"/>
    <w:rsid w:val="004E3C16"/>
    <w:rsid w:val="004F30D6"/>
    <w:rsid w:val="00515FB3"/>
    <w:rsid w:val="00523696"/>
    <w:rsid w:val="0055344A"/>
    <w:rsid w:val="00590AFC"/>
    <w:rsid w:val="00596B47"/>
    <w:rsid w:val="00600D65"/>
    <w:rsid w:val="00687A10"/>
    <w:rsid w:val="006901F7"/>
    <w:rsid w:val="00694355"/>
    <w:rsid w:val="006B6C44"/>
    <w:rsid w:val="006D197E"/>
    <w:rsid w:val="006D6566"/>
    <w:rsid w:val="006E238D"/>
    <w:rsid w:val="00733CEA"/>
    <w:rsid w:val="007679CD"/>
    <w:rsid w:val="007830B1"/>
    <w:rsid w:val="00817020"/>
    <w:rsid w:val="00836554"/>
    <w:rsid w:val="00855C13"/>
    <w:rsid w:val="008A636D"/>
    <w:rsid w:val="008A732D"/>
    <w:rsid w:val="008B6688"/>
    <w:rsid w:val="00933CAF"/>
    <w:rsid w:val="0096140D"/>
    <w:rsid w:val="00A406C0"/>
    <w:rsid w:val="00AD6E41"/>
    <w:rsid w:val="00B45335"/>
    <w:rsid w:val="00B71227"/>
    <w:rsid w:val="00BA4E8C"/>
    <w:rsid w:val="00BA596C"/>
    <w:rsid w:val="00BB2CE6"/>
    <w:rsid w:val="00BF1538"/>
    <w:rsid w:val="00BF17C6"/>
    <w:rsid w:val="00C53D07"/>
    <w:rsid w:val="00C62729"/>
    <w:rsid w:val="00CA0502"/>
    <w:rsid w:val="00D16EDB"/>
    <w:rsid w:val="00DB6B26"/>
    <w:rsid w:val="00DC123C"/>
    <w:rsid w:val="00DE321A"/>
    <w:rsid w:val="00E107CB"/>
    <w:rsid w:val="00E3365C"/>
    <w:rsid w:val="00F25CBF"/>
    <w:rsid w:val="00F305B5"/>
    <w:rsid w:val="00F469BD"/>
    <w:rsid w:val="00F61F75"/>
    <w:rsid w:val="00F800AD"/>
    <w:rsid w:val="00FD3D9E"/>
    <w:rsid w:val="00FF7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5C2AC"/>
  <w15:chartTrackingRefBased/>
  <w15:docId w15:val="{633C2111-5856-4A1D-A664-B728D6819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729"/>
    <w:rPr>
      <w:rFonts w:ascii="Times New Roman" w:eastAsia="Times New Roman" w:hAnsi="Times New Roman" w:cs="Times New Roman"/>
    </w:rPr>
  </w:style>
  <w:style w:type="paragraph" w:styleId="Heading1">
    <w:name w:val="heading 1"/>
    <w:basedOn w:val="Normal"/>
    <w:next w:val="Normal"/>
    <w:link w:val="Heading1Char"/>
    <w:rsid w:val="00BF17C6"/>
    <w:pPr>
      <w:keepNext/>
      <w:keepLines/>
      <w:spacing w:before="400" w:after="120"/>
      <w:outlineLvl w:val="0"/>
    </w:pPr>
    <w:rPr>
      <w:sz w:val="40"/>
      <w:szCs w:val="40"/>
    </w:rPr>
  </w:style>
  <w:style w:type="paragraph" w:styleId="Heading2">
    <w:name w:val="heading 2"/>
    <w:basedOn w:val="Normal"/>
    <w:next w:val="Normal"/>
    <w:link w:val="Heading2Char"/>
    <w:qFormat/>
    <w:rsid w:val="00BF17C6"/>
    <w:pPr>
      <w:keepNext/>
      <w:keepLines/>
      <w:spacing w:before="360" w:after="120"/>
      <w:outlineLvl w:val="1"/>
    </w:pPr>
    <w:rPr>
      <w:b/>
      <w:sz w:val="32"/>
      <w:szCs w:val="32"/>
    </w:rPr>
  </w:style>
  <w:style w:type="paragraph" w:styleId="Heading3">
    <w:name w:val="heading 3"/>
    <w:basedOn w:val="Normal"/>
    <w:next w:val="Normal"/>
    <w:link w:val="Heading3Char"/>
    <w:rsid w:val="00BF17C6"/>
    <w:pPr>
      <w:keepNext/>
      <w:keepLines/>
      <w:spacing w:before="320" w:after="80"/>
      <w:outlineLvl w:val="2"/>
    </w:pPr>
    <w:rPr>
      <w:color w:val="434343"/>
      <w:sz w:val="28"/>
      <w:szCs w:val="28"/>
    </w:rPr>
  </w:style>
  <w:style w:type="paragraph" w:styleId="Heading4">
    <w:name w:val="heading 4"/>
    <w:basedOn w:val="Normal"/>
    <w:next w:val="Normal"/>
    <w:link w:val="Heading4Char"/>
    <w:rsid w:val="00BF17C6"/>
    <w:pPr>
      <w:keepNext/>
      <w:keepLines/>
      <w:spacing w:before="280" w:after="80"/>
      <w:outlineLvl w:val="3"/>
    </w:pPr>
    <w:rPr>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17C6"/>
    <w:rPr>
      <w:rFonts w:ascii="Times New Roman" w:eastAsia="Times New Roman" w:hAnsi="Times New Roman" w:cs="Times New Roman"/>
      <w:sz w:val="40"/>
      <w:szCs w:val="40"/>
    </w:rPr>
  </w:style>
  <w:style w:type="character" w:customStyle="1" w:styleId="Heading2Char">
    <w:name w:val="Heading 2 Char"/>
    <w:basedOn w:val="DefaultParagraphFont"/>
    <w:link w:val="Heading2"/>
    <w:rsid w:val="00BF17C6"/>
    <w:rPr>
      <w:rFonts w:ascii="Times New Roman" w:eastAsia="Times New Roman" w:hAnsi="Times New Roman" w:cs="Times New Roman"/>
      <w:b/>
      <w:sz w:val="32"/>
      <w:szCs w:val="32"/>
    </w:rPr>
  </w:style>
  <w:style w:type="character" w:customStyle="1" w:styleId="Heading3Char">
    <w:name w:val="Heading 3 Char"/>
    <w:basedOn w:val="DefaultParagraphFont"/>
    <w:link w:val="Heading3"/>
    <w:rsid w:val="00BF17C6"/>
    <w:rPr>
      <w:rFonts w:ascii="Times New Roman" w:eastAsia="Times New Roman" w:hAnsi="Times New Roman" w:cs="Times New Roman"/>
      <w:color w:val="434343"/>
      <w:sz w:val="28"/>
      <w:szCs w:val="28"/>
    </w:rPr>
  </w:style>
  <w:style w:type="character" w:customStyle="1" w:styleId="Heading4Char">
    <w:name w:val="Heading 4 Char"/>
    <w:basedOn w:val="DefaultParagraphFont"/>
    <w:link w:val="Heading4"/>
    <w:rsid w:val="00BF17C6"/>
    <w:rPr>
      <w:rFonts w:ascii="Times New Roman" w:eastAsia="Times New Roman" w:hAnsi="Times New Roman" w:cs="Times New Roman"/>
      <w:color w:val="666666"/>
    </w:rPr>
  </w:style>
  <w:style w:type="paragraph" w:styleId="Header">
    <w:name w:val="header"/>
    <w:basedOn w:val="Normal"/>
    <w:link w:val="HeaderChar"/>
    <w:uiPriority w:val="99"/>
    <w:unhideWhenUsed/>
    <w:rsid w:val="00BF17C6"/>
    <w:pPr>
      <w:tabs>
        <w:tab w:val="center" w:pos="4680"/>
        <w:tab w:val="right" w:pos="9360"/>
      </w:tabs>
    </w:pPr>
  </w:style>
  <w:style w:type="character" w:customStyle="1" w:styleId="HeaderChar">
    <w:name w:val="Header Char"/>
    <w:basedOn w:val="DefaultParagraphFont"/>
    <w:link w:val="Header"/>
    <w:uiPriority w:val="99"/>
    <w:rsid w:val="00BF17C6"/>
    <w:rPr>
      <w:rFonts w:ascii="Times New Roman" w:eastAsia="Times New Roman" w:hAnsi="Times New Roman" w:cs="Times New Roman"/>
    </w:rPr>
  </w:style>
  <w:style w:type="paragraph" w:styleId="Footer">
    <w:name w:val="footer"/>
    <w:basedOn w:val="Normal"/>
    <w:link w:val="FooterChar"/>
    <w:uiPriority w:val="99"/>
    <w:unhideWhenUsed/>
    <w:rsid w:val="00BF17C6"/>
    <w:pPr>
      <w:tabs>
        <w:tab w:val="center" w:pos="4680"/>
        <w:tab w:val="right" w:pos="9360"/>
      </w:tabs>
    </w:pPr>
  </w:style>
  <w:style w:type="character" w:customStyle="1" w:styleId="FooterChar">
    <w:name w:val="Footer Char"/>
    <w:basedOn w:val="DefaultParagraphFont"/>
    <w:link w:val="Footer"/>
    <w:uiPriority w:val="99"/>
    <w:rsid w:val="00BF17C6"/>
    <w:rPr>
      <w:rFonts w:ascii="Times New Roman" w:eastAsia="Times New Roman" w:hAnsi="Times New Roman" w:cs="Times New Roman"/>
    </w:rPr>
  </w:style>
  <w:style w:type="table" w:styleId="TableGrid">
    <w:name w:val="Table Grid"/>
    <w:basedOn w:val="TableNormal"/>
    <w:uiPriority w:val="39"/>
    <w:rsid w:val="00BF17C6"/>
    <w:pPr>
      <w:pBdr>
        <w:top w:val="nil"/>
        <w:left w:val="nil"/>
        <w:bottom w:val="nil"/>
        <w:right w:val="nil"/>
        <w:between w:val="nil"/>
      </w:pBdr>
    </w:pPr>
    <w:rPr>
      <w:rFonts w:ascii="Arial" w:eastAsia="Arial" w:hAnsi="Arial" w:cs="Arial"/>
      <w:color w:val="000000"/>
      <w:sz w:val="22"/>
      <w:szCs w:val="22"/>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17C6"/>
    <w:rPr>
      <w:color w:val="0563C1" w:themeColor="hyperlink"/>
      <w:u w:val="single"/>
    </w:rPr>
  </w:style>
  <w:style w:type="paragraph" w:styleId="ListParagraph">
    <w:name w:val="List Paragraph"/>
    <w:basedOn w:val="Normal"/>
    <w:uiPriority w:val="34"/>
    <w:qFormat/>
    <w:rsid w:val="00BF17C6"/>
    <w:pPr>
      <w:ind w:left="720"/>
      <w:contextualSpacing/>
    </w:pPr>
  </w:style>
  <w:style w:type="paragraph" w:styleId="NormalWeb">
    <w:name w:val="Normal (Web)"/>
    <w:basedOn w:val="Normal"/>
    <w:uiPriority w:val="99"/>
    <w:unhideWhenUsed/>
    <w:rsid w:val="00BF17C6"/>
    <w:pPr>
      <w:spacing w:before="100" w:beforeAutospacing="1" w:after="100" w:afterAutospacing="1"/>
    </w:pPr>
  </w:style>
  <w:style w:type="character" w:styleId="BookTitle">
    <w:name w:val="Book Title"/>
    <w:basedOn w:val="DefaultParagraphFont"/>
    <w:uiPriority w:val="33"/>
    <w:qFormat/>
    <w:rsid w:val="00BF17C6"/>
    <w:rPr>
      <w:b/>
      <w:bCs/>
      <w:i w:val="0"/>
      <w:iCs/>
      <w:spacing w:val="5"/>
    </w:rPr>
  </w:style>
  <w:style w:type="paragraph" w:styleId="NoSpacing">
    <w:name w:val="No Spacing"/>
    <w:uiPriority w:val="1"/>
    <w:qFormat/>
    <w:rsid w:val="00BF17C6"/>
    <w:pPr>
      <w:pBdr>
        <w:top w:val="nil"/>
        <w:left w:val="nil"/>
        <w:bottom w:val="nil"/>
        <w:right w:val="nil"/>
        <w:between w:val="nil"/>
      </w:pBdr>
    </w:pPr>
    <w:rPr>
      <w:rFonts w:ascii="Arial" w:eastAsia="Arial" w:hAnsi="Arial" w:cs="Arial"/>
      <w:color w:val="000000"/>
      <w:sz w:val="22"/>
      <w:szCs w:val="22"/>
      <w:lang w:val="en"/>
    </w:rPr>
  </w:style>
  <w:style w:type="character" w:customStyle="1" w:styleId="hidden-sm">
    <w:name w:val="hidden-sm"/>
    <w:basedOn w:val="DefaultParagraphFont"/>
    <w:rsid w:val="00BF17C6"/>
  </w:style>
  <w:style w:type="character" w:customStyle="1" w:styleId="u-visually-hidden">
    <w:name w:val="u-visually-hidden"/>
    <w:basedOn w:val="DefaultParagraphFont"/>
    <w:rsid w:val="00BF17C6"/>
  </w:style>
  <w:style w:type="character" w:customStyle="1" w:styleId="sr-only">
    <w:name w:val="sr-only"/>
    <w:basedOn w:val="DefaultParagraphFont"/>
    <w:rsid w:val="00BF17C6"/>
  </w:style>
  <w:style w:type="character" w:styleId="CommentReference">
    <w:name w:val="annotation reference"/>
    <w:basedOn w:val="DefaultParagraphFont"/>
    <w:uiPriority w:val="99"/>
    <w:semiHidden/>
    <w:unhideWhenUsed/>
    <w:rsid w:val="008A732D"/>
    <w:rPr>
      <w:sz w:val="16"/>
      <w:szCs w:val="16"/>
    </w:rPr>
  </w:style>
  <w:style w:type="paragraph" w:styleId="CommentText">
    <w:name w:val="annotation text"/>
    <w:basedOn w:val="Normal"/>
    <w:link w:val="CommentTextChar"/>
    <w:uiPriority w:val="99"/>
    <w:semiHidden/>
    <w:unhideWhenUsed/>
    <w:rsid w:val="008A732D"/>
    <w:rPr>
      <w:sz w:val="20"/>
      <w:szCs w:val="20"/>
    </w:rPr>
  </w:style>
  <w:style w:type="character" w:customStyle="1" w:styleId="CommentTextChar">
    <w:name w:val="Comment Text Char"/>
    <w:basedOn w:val="DefaultParagraphFont"/>
    <w:link w:val="CommentText"/>
    <w:uiPriority w:val="99"/>
    <w:semiHidden/>
    <w:rsid w:val="008A73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732D"/>
    <w:rPr>
      <w:b/>
      <w:bCs/>
    </w:rPr>
  </w:style>
  <w:style w:type="character" w:customStyle="1" w:styleId="CommentSubjectChar">
    <w:name w:val="Comment Subject Char"/>
    <w:basedOn w:val="CommentTextChar"/>
    <w:link w:val="CommentSubject"/>
    <w:uiPriority w:val="99"/>
    <w:semiHidden/>
    <w:rsid w:val="008A732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A7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32D"/>
    <w:rPr>
      <w:rFonts w:ascii="Segoe UI" w:eastAsia="Times New Roman" w:hAnsi="Segoe UI" w:cs="Segoe UI"/>
      <w:sz w:val="18"/>
      <w:szCs w:val="18"/>
    </w:rPr>
  </w:style>
  <w:style w:type="table" w:customStyle="1" w:styleId="TableGrid1">
    <w:name w:val="Table Grid1"/>
    <w:basedOn w:val="TableNormal"/>
    <w:next w:val="TableGrid"/>
    <w:uiPriority w:val="39"/>
    <w:rsid w:val="006B6C44"/>
    <w:pPr>
      <w:pBdr>
        <w:top w:val="nil"/>
        <w:left w:val="nil"/>
        <w:bottom w:val="nil"/>
        <w:right w:val="nil"/>
        <w:between w:val="nil"/>
      </w:pBdr>
    </w:pPr>
    <w:rPr>
      <w:rFonts w:ascii="Arial" w:eastAsia="Arial" w:hAnsi="Arial" w:cs="Arial"/>
      <w:color w:val="000000"/>
      <w:sz w:val="22"/>
      <w:szCs w:val="22"/>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B6C44"/>
    <w:pPr>
      <w:pBdr>
        <w:top w:val="nil"/>
        <w:left w:val="nil"/>
        <w:bottom w:val="nil"/>
        <w:right w:val="nil"/>
        <w:between w:val="nil"/>
      </w:pBdr>
    </w:pPr>
    <w:rPr>
      <w:rFonts w:ascii="Arial" w:eastAsia="Arial" w:hAnsi="Arial" w:cs="Arial"/>
      <w:color w:val="000000"/>
      <w:sz w:val="22"/>
      <w:szCs w:val="22"/>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5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794108">
      <w:bodyDiv w:val="1"/>
      <w:marLeft w:val="0"/>
      <w:marRight w:val="0"/>
      <w:marTop w:val="0"/>
      <w:marBottom w:val="0"/>
      <w:divBdr>
        <w:top w:val="none" w:sz="0" w:space="0" w:color="auto"/>
        <w:left w:val="none" w:sz="0" w:space="0" w:color="auto"/>
        <w:bottom w:val="none" w:sz="0" w:space="0" w:color="auto"/>
        <w:right w:val="none" w:sz="0" w:space="0" w:color="auto"/>
      </w:divBdr>
      <w:divsChild>
        <w:div w:id="1923833377">
          <w:marLeft w:val="0"/>
          <w:marRight w:val="0"/>
          <w:marTop w:val="0"/>
          <w:marBottom w:val="0"/>
          <w:divBdr>
            <w:top w:val="none" w:sz="0" w:space="0" w:color="auto"/>
            <w:left w:val="none" w:sz="0" w:space="0" w:color="auto"/>
            <w:bottom w:val="none" w:sz="0" w:space="0" w:color="auto"/>
            <w:right w:val="none" w:sz="0" w:space="0" w:color="auto"/>
          </w:divBdr>
        </w:div>
      </w:divsChild>
    </w:div>
    <w:div w:id="159273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gner.nyu.edu/portal/students/policies/code" TargetMode="External"/><Relationship Id="rId13" Type="http://schemas.openxmlformats.org/officeDocument/2006/relationships/hyperlink" Target="mailto:religiousaccommodations@nyu.edu" TargetMode="External"/><Relationship Id="rId18" Type="http://schemas.openxmlformats.org/officeDocument/2006/relationships/hyperlink" Target="https://www.nytimes.com/2017/09/02/business/economy/get-ready-for-technological-upheaval-by-expecting-the-unimagined.html" TargetMode="External"/><Relationship Id="rId26" Type="http://schemas.openxmlformats.org/officeDocument/2006/relationships/hyperlink" Target="https://health-policy-systems.biomedcentral.com/" TargetMode="External"/><Relationship Id="rId3" Type="http://schemas.openxmlformats.org/officeDocument/2006/relationships/settings" Target="settings.xml"/><Relationship Id="rId21" Type="http://schemas.openxmlformats.org/officeDocument/2006/relationships/hyperlink" Target="https://www.vox.com/future-perfect/22916602/ai-bias-fairness-tradeoffs-artificial-intelligence" TargetMode="External"/><Relationship Id="rId7" Type="http://schemas.openxmlformats.org/officeDocument/2006/relationships/image" Target="media/image1.jpeg"/><Relationship Id="rId12" Type="http://schemas.openxmlformats.org/officeDocument/2006/relationships/hyperlink" Target="https://www.nyu.edu/about/policies-guidelines-compliance/policies-and-guidelines/university-calendar-policy-on-religious-holidays.html" TargetMode="External"/><Relationship Id="rId17" Type="http://schemas.openxmlformats.org/officeDocument/2006/relationships/hyperlink" Target="https://www.civics101podcast.org/civics-101-episodes/howabill" TargetMode="External"/><Relationship Id="rId25" Type="http://schemas.openxmlformats.org/officeDocument/2006/relationships/hyperlink" Target="https://www.washingtonpost.com/news/monkey-cage/wp/2017/08/13/these-3-barriers-make-it-hard-for-policymakers-to-use-the-evidence-that-development-researchers-produce/" TargetMode="External"/><Relationship Id="rId2" Type="http://schemas.openxmlformats.org/officeDocument/2006/relationships/styles" Target="styles.xml"/><Relationship Id="rId16" Type="http://schemas.openxmlformats.org/officeDocument/2006/relationships/hyperlink" Target="https://www.nyu.edu/students/academic-services/writing-center.html" TargetMode="External"/><Relationship Id="rId20" Type="http://schemas.openxmlformats.org/officeDocument/2006/relationships/hyperlink" Target="https://case.hks.harvard.edu/a-duty-to-lea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sescsd@nyu.edu" TargetMode="External"/><Relationship Id="rId24" Type="http://schemas.openxmlformats.org/officeDocument/2006/relationships/hyperlink" Target="https://www.propublica.org/article/we-dont-talk-about-leonard-podcast" TargetMode="External"/><Relationship Id="rId5" Type="http://schemas.openxmlformats.org/officeDocument/2006/relationships/footnotes" Target="footnotes.xml"/><Relationship Id="rId15" Type="http://schemas.openxmlformats.org/officeDocument/2006/relationships/hyperlink" Target="https://wagner.nyu.edu/portal/students/academics/advisement/writing-center" TargetMode="External"/><Relationship Id="rId23" Type="http://schemas.openxmlformats.org/officeDocument/2006/relationships/hyperlink" Target="https://www.wnycstudios.org/podcasts/otm/segments/plaintiff-shopping" TargetMode="External"/><Relationship Id="rId28" Type="http://schemas.openxmlformats.org/officeDocument/2006/relationships/fontTable" Target="fontTable.xml"/><Relationship Id="rId10" Type="http://schemas.openxmlformats.org/officeDocument/2006/relationships/hyperlink" Target="https://www.nyu.edu/students/communities-and-groups/students-with-disabilities.html" TargetMode="External"/><Relationship Id="rId19" Type="http://schemas.openxmlformats.org/officeDocument/2006/relationships/hyperlink" Target="https://podcasts.apple.com/us/podcast/the-book-i-wish-every-policymaker-would-read/id1548604447?i=1000615839464" TargetMode="External"/><Relationship Id="rId4" Type="http://schemas.openxmlformats.org/officeDocument/2006/relationships/webSettings" Target="webSettings.xml"/><Relationship Id="rId9" Type="http://schemas.openxmlformats.org/officeDocument/2006/relationships/hyperlink" Target="https://wagner.nyu.edu/portal/students/policies/academic-oath" TargetMode="External"/><Relationship Id="rId14" Type="http://schemas.openxmlformats.org/officeDocument/2006/relationships/hyperlink" Target="http://www.nyu.edu/life/safety-health-wellness/wellness-exchange.html" TargetMode="External"/><Relationship Id="rId22" Type="http://schemas.openxmlformats.org/officeDocument/2006/relationships/hyperlink" Target="https://nyu.kanopy.com/video/litigation-and-american-legal-syste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1950</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Gershman</dc:creator>
  <cp:keywords/>
  <dc:description/>
  <cp:lastModifiedBy>Seth Flynn</cp:lastModifiedBy>
  <cp:revision>4</cp:revision>
  <dcterms:created xsi:type="dcterms:W3CDTF">2024-08-26T12:58:00Z</dcterms:created>
  <dcterms:modified xsi:type="dcterms:W3CDTF">2024-10-28T18:24:00Z</dcterms:modified>
</cp:coreProperties>
</file>