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5A77D" w14:textId="77777777" w:rsidR="00AC2285" w:rsidRDefault="006D32D0">
      <w:pPr>
        <w:tabs>
          <w:tab w:val="right" w:pos="9517"/>
        </w:tabs>
        <w:spacing w:after="196" w:line="259" w:lineRule="auto"/>
        <w:ind w:left="0" w:firstLine="0"/>
      </w:pPr>
      <w:r>
        <w:rPr>
          <w:sz w:val="6"/>
        </w:rPr>
        <w:t xml:space="preserve"> </w:t>
      </w:r>
      <w:r>
        <w:rPr>
          <w:sz w:val="6"/>
        </w:rPr>
        <w:tab/>
      </w:r>
      <w:r>
        <w:rPr>
          <w:noProof/>
        </w:rPr>
        <w:drawing>
          <wp:inline distT="0" distB="0" distL="0" distR="0" wp14:anchorId="2540AF87" wp14:editId="3D9A8DF5">
            <wp:extent cx="5942585" cy="668020"/>
            <wp:effectExtent l="0" t="0" r="0" b="0"/>
            <wp:docPr id="753" name="Picture 753" descr="NYU Wagner logo"/>
            <wp:cNvGraphicFramePr/>
            <a:graphic xmlns:a="http://schemas.openxmlformats.org/drawingml/2006/main">
              <a:graphicData uri="http://schemas.openxmlformats.org/drawingml/2006/picture">
                <pic:pic xmlns:pic="http://schemas.openxmlformats.org/drawingml/2006/picture">
                  <pic:nvPicPr>
                    <pic:cNvPr id="753" name="Picture 753"/>
                    <pic:cNvPicPr/>
                  </pic:nvPicPr>
                  <pic:blipFill>
                    <a:blip r:embed="rId7"/>
                    <a:stretch>
                      <a:fillRect/>
                    </a:stretch>
                  </pic:blipFill>
                  <pic:spPr>
                    <a:xfrm>
                      <a:off x="0" y="0"/>
                      <a:ext cx="5942585" cy="668020"/>
                    </a:xfrm>
                    <a:prstGeom prst="rect">
                      <a:avLst/>
                    </a:prstGeom>
                  </pic:spPr>
                </pic:pic>
              </a:graphicData>
            </a:graphic>
          </wp:inline>
        </w:drawing>
      </w:r>
      <w:r>
        <w:rPr>
          <w:sz w:val="20"/>
        </w:rPr>
        <w:t xml:space="preserve"> </w:t>
      </w:r>
    </w:p>
    <w:p w14:paraId="06F7450C" w14:textId="77777777" w:rsidR="00AC2285" w:rsidRDefault="006D32D0">
      <w:pPr>
        <w:spacing w:after="239" w:line="271" w:lineRule="auto"/>
        <w:ind w:left="2319" w:right="2274"/>
        <w:jc w:val="center"/>
      </w:pPr>
      <w:r>
        <w:rPr>
          <w:rFonts w:ascii="Arial" w:eastAsia="Arial" w:hAnsi="Arial" w:cs="Arial"/>
          <w:b/>
          <w:sz w:val="32"/>
        </w:rPr>
        <w:t xml:space="preserve">HPAM-GP-4840 </w:t>
      </w:r>
    </w:p>
    <w:p w14:paraId="5720A0A5" w14:textId="77777777" w:rsidR="00AC2285" w:rsidRDefault="006D32D0">
      <w:pPr>
        <w:spacing w:after="11" w:line="271" w:lineRule="auto"/>
        <w:ind w:left="2319" w:right="2194"/>
        <w:jc w:val="center"/>
      </w:pPr>
      <w:r>
        <w:rPr>
          <w:rFonts w:ascii="Arial" w:eastAsia="Arial" w:hAnsi="Arial" w:cs="Arial"/>
          <w:b/>
          <w:sz w:val="32"/>
        </w:rPr>
        <w:t xml:space="preserve">Financial Management for Health Care Organizations I: </w:t>
      </w:r>
    </w:p>
    <w:p w14:paraId="19BFB821" w14:textId="77777777" w:rsidR="00AC2285" w:rsidRDefault="006D32D0">
      <w:pPr>
        <w:spacing w:after="300" w:line="271" w:lineRule="auto"/>
        <w:ind w:left="2319" w:right="2194"/>
        <w:jc w:val="center"/>
      </w:pPr>
      <w:r>
        <w:rPr>
          <w:rFonts w:ascii="Arial" w:eastAsia="Arial" w:hAnsi="Arial" w:cs="Arial"/>
          <w:b/>
          <w:sz w:val="32"/>
        </w:rPr>
        <w:t xml:space="preserve">Financial Management and Budgeting  </w:t>
      </w:r>
    </w:p>
    <w:p w14:paraId="6B0789D3" w14:textId="1BCAAE2A" w:rsidR="00AC2285" w:rsidRDefault="006D32D0">
      <w:pPr>
        <w:spacing w:after="11" w:line="271" w:lineRule="auto"/>
        <w:ind w:left="2319" w:right="2282"/>
        <w:jc w:val="center"/>
      </w:pPr>
      <w:r>
        <w:rPr>
          <w:rFonts w:ascii="Arial" w:eastAsia="Arial" w:hAnsi="Arial" w:cs="Arial"/>
          <w:b/>
          <w:sz w:val="32"/>
        </w:rPr>
        <w:t>Fall 202</w:t>
      </w:r>
      <w:r w:rsidR="00C46937">
        <w:rPr>
          <w:rFonts w:ascii="Arial" w:eastAsia="Arial" w:hAnsi="Arial" w:cs="Arial"/>
          <w:b/>
          <w:sz w:val="32"/>
        </w:rPr>
        <w:t>4</w:t>
      </w:r>
    </w:p>
    <w:p w14:paraId="1B3F5A91" w14:textId="77777777" w:rsidR="00AC2285" w:rsidRDefault="006D32D0">
      <w:pPr>
        <w:spacing w:after="0" w:line="259" w:lineRule="auto"/>
        <w:ind w:left="101" w:firstLine="0"/>
        <w:jc w:val="center"/>
      </w:pPr>
      <w:r>
        <w:rPr>
          <w:b/>
        </w:rPr>
        <w:t xml:space="preserve"> </w:t>
      </w:r>
    </w:p>
    <w:p w14:paraId="68822A57" w14:textId="256D233C" w:rsidR="00AC2285" w:rsidRDefault="006D32D0">
      <w:pPr>
        <w:ind w:left="95" w:right="70"/>
      </w:pPr>
      <w:r>
        <w:t xml:space="preserve">Instructor: </w:t>
      </w:r>
      <w:r w:rsidR="00B77136">
        <w:t>Julius Wool</w:t>
      </w:r>
      <w:r>
        <w:t xml:space="preserve"> </w:t>
      </w:r>
    </w:p>
    <w:p w14:paraId="649F3840" w14:textId="6430BDEC" w:rsidR="00AC2285" w:rsidRDefault="006D32D0">
      <w:pPr>
        <w:spacing w:after="0" w:line="259" w:lineRule="auto"/>
        <w:ind w:left="100" w:firstLine="0"/>
      </w:pPr>
      <w:r>
        <w:t xml:space="preserve">E-mail: </w:t>
      </w:r>
      <w:r w:rsidR="00E65CF3">
        <w:rPr>
          <w:color w:val="0000FF"/>
          <w:u w:val="single" w:color="0000FF"/>
        </w:rPr>
        <w:t>j</w:t>
      </w:r>
      <w:r w:rsidR="00B77136">
        <w:rPr>
          <w:color w:val="0000FF"/>
          <w:u w:val="single" w:color="0000FF"/>
        </w:rPr>
        <w:t>ulius.wool</w:t>
      </w:r>
      <w:r>
        <w:rPr>
          <w:color w:val="0000FF"/>
          <w:u w:val="single" w:color="0000FF"/>
        </w:rPr>
        <w:t>@nyu.edu</w:t>
      </w:r>
      <w:r>
        <w:t xml:space="preserve"> </w:t>
      </w:r>
    </w:p>
    <w:p w14:paraId="4B3DD7A0" w14:textId="7B62684B" w:rsidR="00AC2285" w:rsidRDefault="006D32D0">
      <w:pPr>
        <w:ind w:left="95" w:right="70"/>
      </w:pPr>
      <w:r>
        <w:t xml:space="preserve">Office Hours: </w:t>
      </w:r>
      <w:r w:rsidR="001C0030">
        <w:t xml:space="preserve">in person before or after class or </w:t>
      </w:r>
      <w:r w:rsidR="0022687A">
        <w:t xml:space="preserve">scheduled on demand </w:t>
      </w:r>
      <w:r w:rsidR="00B77136">
        <w:t xml:space="preserve">via </w:t>
      </w:r>
      <w:r w:rsidR="0022687A">
        <w:t>Zoom.</w:t>
      </w:r>
      <w:r>
        <w:t xml:space="preserve"> </w:t>
      </w:r>
    </w:p>
    <w:p w14:paraId="1E85EFF1" w14:textId="77777777" w:rsidR="00AC2285" w:rsidRDefault="006D32D0">
      <w:pPr>
        <w:ind w:left="95" w:right="70"/>
      </w:pPr>
      <w:r>
        <w:t xml:space="preserve">Class Date and Time: Tuesdays, 4:55-6:35 pm </w:t>
      </w:r>
    </w:p>
    <w:p w14:paraId="45F0F10F" w14:textId="5CD81FAB" w:rsidR="00AC2285" w:rsidRDefault="006D32D0" w:rsidP="00301EDA">
      <w:pPr>
        <w:ind w:left="95" w:right="70"/>
      </w:pPr>
      <w:r w:rsidRPr="00052448">
        <w:t>Location:</w:t>
      </w:r>
      <w:r w:rsidR="00C55DC9">
        <w:t xml:space="preserve"> 181 Mercer St (Paulson Center) Room 322</w:t>
      </w:r>
    </w:p>
    <w:p w14:paraId="6A43D888" w14:textId="77777777" w:rsidR="00301EDA" w:rsidRDefault="00301EDA" w:rsidP="00301EDA">
      <w:pPr>
        <w:ind w:left="95" w:right="70"/>
      </w:pPr>
    </w:p>
    <w:p w14:paraId="4AEAF975" w14:textId="539E2553" w:rsidR="00AC2285" w:rsidRDefault="006D32D0" w:rsidP="00301EDA">
      <w:pPr>
        <w:pStyle w:val="Heading1"/>
        <w:ind w:left="95"/>
      </w:pPr>
      <w:r>
        <w:t>COURSE DESCRIPTION</w:t>
      </w:r>
    </w:p>
    <w:p w14:paraId="750ABA50" w14:textId="77777777" w:rsidR="00301EDA" w:rsidRPr="00301EDA" w:rsidRDefault="00301EDA" w:rsidP="00301EDA">
      <w:pPr>
        <w:rPr>
          <w:lang w:bidi="ar-SA"/>
        </w:rPr>
      </w:pPr>
    </w:p>
    <w:p w14:paraId="5B7D2122" w14:textId="60B201A2" w:rsidR="00AC2285" w:rsidRDefault="006D32D0" w:rsidP="00301EDA">
      <w:pPr>
        <w:ind w:left="95" w:right="70"/>
      </w:pPr>
      <w:r>
        <w:t>T</w:t>
      </w:r>
      <w:r>
        <w:t xml:space="preserve">his is a required course for all Wagner students in the health management and health care financial management specializations. The </w:t>
      </w:r>
      <w:r>
        <w:t xml:space="preserve">topics are relevant, however, for any student wishing to expand his or her financial management skills. The course focuses on the related topics of planning and financial decision making as applied to health care organizations. This course will build from </w:t>
      </w:r>
      <w:r>
        <w:t xml:space="preserve">the skills students have acquired in the core financial management course (1021); specifically, we will in many cases review topics already familiar to students, apply them specifically to health care organizations, discuss more advanced features of these </w:t>
      </w:r>
      <w:r>
        <w:t>topics, and apply them to professional situations. Students will learn and practice these skills through lectures, problem solving,</w:t>
      </w:r>
      <w:r w:rsidR="00052448">
        <w:t xml:space="preserve"> a finance term project</w:t>
      </w:r>
      <w:r>
        <w:t xml:space="preserve"> and a final cumulative exam. The course is structured to integrate both academic and practical approa</w:t>
      </w:r>
      <w:r>
        <w:t>ches and perspectives on current health care financial issues.</w:t>
      </w:r>
    </w:p>
    <w:p w14:paraId="27F59046" w14:textId="77777777" w:rsidR="00301EDA" w:rsidRDefault="00301EDA" w:rsidP="00301EDA">
      <w:pPr>
        <w:ind w:left="95" w:right="70"/>
      </w:pPr>
    </w:p>
    <w:p w14:paraId="74AA4839" w14:textId="1931C29B" w:rsidR="00AC2285" w:rsidRDefault="006D32D0" w:rsidP="00045858">
      <w:pPr>
        <w:pStyle w:val="Heading1"/>
        <w:ind w:left="95"/>
      </w:pPr>
      <w:r>
        <w:t xml:space="preserve">COURSE AND LEARNING OBJECTIVES </w:t>
      </w:r>
    </w:p>
    <w:p w14:paraId="1AE74491" w14:textId="77777777" w:rsidR="00045858" w:rsidRPr="00045858" w:rsidRDefault="00045858" w:rsidP="00045858">
      <w:pPr>
        <w:rPr>
          <w:lang w:bidi="ar-SA"/>
        </w:rPr>
      </w:pPr>
    </w:p>
    <w:p w14:paraId="2AFDC18D" w14:textId="17C2C6B7" w:rsidR="00AC2285" w:rsidRDefault="006D32D0" w:rsidP="00301EDA">
      <w:pPr>
        <w:ind w:left="95" w:right="70"/>
      </w:pPr>
      <w:r>
        <w:t xml:space="preserve">The primary goal of this course is to familiarize students with tools to manage, plan, and analyze the </w:t>
      </w:r>
      <w:r w:rsidR="001C4AAB">
        <w:t xml:space="preserve">financial </w:t>
      </w:r>
      <w:r>
        <w:t>operations of health care organizations. This includes a basic understanding of the unique financial environment health care organizations operate within. Another goal of the course is to reinforce the quantitative skills that are essential in the financia</w:t>
      </w:r>
      <w:r>
        <w:t>l management process. A final goal of this course is to help students learn how to communicate financial concepts clearly and effectively.</w:t>
      </w:r>
    </w:p>
    <w:p w14:paraId="264E1EBE" w14:textId="77777777" w:rsidR="00301EDA" w:rsidRDefault="00301EDA" w:rsidP="00301EDA">
      <w:pPr>
        <w:ind w:left="95" w:right="70"/>
      </w:pPr>
    </w:p>
    <w:p w14:paraId="17D36177" w14:textId="705016CD" w:rsidR="00AC2285" w:rsidRDefault="006D32D0" w:rsidP="00301EDA">
      <w:pPr>
        <w:ind w:left="95" w:right="70"/>
      </w:pPr>
      <w:r>
        <w:t xml:space="preserve">At the end of this </w:t>
      </w:r>
      <w:r w:rsidR="00DE3A22">
        <w:t>course,</w:t>
      </w:r>
      <w:r>
        <w:t xml:space="preserve"> you should be able to:</w:t>
      </w:r>
    </w:p>
    <w:p w14:paraId="44735123" w14:textId="337B5824" w:rsidR="008D54A0" w:rsidRDefault="006D32D0">
      <w:pPr>
        <w:numPr>
          <w:ilvl w:val="0"/>
          <w:numId w:val="1"/>
        </w:numPr>
        <w:ind w:left="822" w:right="70" w:hanging="362"/>
      </w:pPr>
      <w:r>
        <w:lastRenderedPageBreak/>
        <w:t xml:space="preserve">Discuss the financial environment </w:t>
      </w:r>
      <w:r w:rsidR="00C36E37">
        <w:t>of</w:t>
      </w:r>
      <w:r>
        <w:t xml:space="preserve"> health care organization</w:t>
      </w:r>
      <w:r>
        <w:t xml:space="preserve">s, including </w:t>
      </w:r>
      <w:r w:rsidR="008D54A0">
        <w:t>health insurance and third-party reimbursement</w:t>
      </w:r>
      <w:r w:rsidR="00A278A6">
        <w:t>,</w:t>
      </w:r>
      <w:r w:rsidR="008D54A0">
        <w:t xml:space="preserve"> and how </w:t>
      </w:r>
      <w:r w:rsidR="00A278A6">
        <w:t>this</w:t>
      </w:r>
      <w:r w:rsidR="008D54A0">
        <w:t xml:space="preserve"> environment has </w:t>
      </w:r>
      <w:r w:rsidR="00A278A6">
        <w:t>evolved</w:t>
      </w:r>
      <w:r w:rsidR="008D54A0">
        <w:t xml:space="preserve"> </w:t>
      </w:r>
      <w:r w:rsidR="00F9329A">
        <w:t>since the</w:t>
      </w:r>
      <w:r w:rsidR="008D54A0">
        <w:t xml:space="preserve"> implementation of the Affordable Care Act in 2010.</w:t>
      </w:r>
    </w:p>
    <w:p w14:paraId="1F8DA7BB" w14:textId="1232DB35" w:rsidR="00AC2285" w:rsidRDefault="006D32D0">
      <w:pPr>
        <w:numPr>
          <w:ilvl w:val="0"/>
          <w:numId w:val="1"/>
        </w:numPr>
        <w:ind w:left="822" w:right="70" w:hanging="362"/>
      </w:pPr>
      <w:r>
        <w:t>Perform profit</w:t>
      </w:r>
      <w:r w:rsidR="008D54A0">
        <w:t>/loss</w:t>
      </w:r>
      <w:r>
        <w:t xml:space="preserve"> and breakeven analyses </w:t>
      </w:r>
      <w:r w:rsidR="00A278A6">
        <w:t>under various reimbursement models, including</w:t>
      </w:r>
      <w:r>
        <w:t xml:space="preserve"> fee-for-</w:t>
      </w:r>
      <w:r>
        <w:t>service</w:t>
      </w:r>
      <w:r w:rsidR="008D54A0">
        <w:t>, discounted fee-for-</w:t>
      </w:r>
      <w:r w:rsidR="00A278A6">
        <w:t>service,</w:t>
      </w:r>
      <w:r>
        <w:t xml:space="preserve"> and capitation</w:t>
      </w:r>
      <w:r w:rsidR="008D54A0">
        <w:t>.</w:t>
      </w:r>
    </w:p>
    <w:p w14:paraId="1E8D0C57" w14:textId="56D10B8A" w:rsidR="00AC2285" w:rsidRDefault="006D32D0" w:rsidP="00ED74E9">
      <w:pPr>
        <w:numPr>
          <w:ilvl w:val="0"/>
          <w:numId w:val="1"/>
        </w:numPr>
        <w:ind w:left="822" w:right="70" w:hanging="362"/>
      </w:pPr>
      <w:r>
        <w:t>Conduct cost allocations using multiple techniques</w:t>
      </w:r>
      <w:r w:rsidR="00ED74E9">
        <w:t xml:space="preserve"> and s</w:t>
      </w:r>
      <w:r>
        <w:t xml:space="preserve">et prices for health care </w:t>
      </w:r>
      <w:r w:rsidR="00A278A6">
        <w:t>services using various methodologies.</w:t>
      </w:r>
    </w:p>
    <w:p w14:paraId="2861DD54" w14:textId="6DC9F936" w:rsidR="00ED74E9" w:rsidRDefault="00ED74E9" w:rsidP="00ED74E9">
      <w:pPr>
        <w:numPr>
          <w:ilvl w:val="0"/>
          <w:numId w:val="1"/>
        </w:numPr>
        <w:ind w:left="822" w:right="70" w:hanging="362"/>
      </w:pPr>
      <w:r>
        <w:t xml:space="preserve">Discuss the major components of the operating budget, including the expense and revenue budgets, and understand how these budgets are used to </w:t>
      </w:r>
      <w:r w:rsidR="00F9329A">
        <w:t xml:space="preserve">plan and </w:t>
      </w:r>
      <w:r>
        <w:t xml:space="preserve">manage </w:t>
      </w:r>
      <w:r w:rsidR="00F9329A">
        <w:t>an organization’s financial functions.</w:t>
      </w:r>
    </w:p>
    <w:p w14:paraId="241F328F" w14:textId="1EE6B428" w:rsidR="00AC2285" w:rsidRDefault="00A278A6">
      <w:pPr>
        <w:numPr>
          <w:ilvl w:val="0"/>
          <w:numId w:val="1"/>
        </w:numPr>
        <w:ind w:left="822" w:right="70" w:hanging="362"/>
      </w:pPr>
      <w:r>
        <w:t xml:space="preserve">Utilize </w:t>
      </w:r>
      <w:r w:rsidR="00F50DBF">
        <w:t xml:space="preserve">key </w:t>
      </w:r>
      <w:r>
        <w:t xml:space="preserve">operating indicators to assess the operating performance of health care organizations and </w:t>
      </w:r>
      <w:r w:rsidR="007E0276">
        <w:t>dashboards</w:t>
      </w:r>
      <w:r>
        <w:t xml:space="preserve"> to analyze the overall financial condition of health care organizations. </w:t>
      </w:r>
    </w:p>
    <w:p w14:paraId="3CF36230" w14:textId="124FCB1F" w:rsidR="00AC2285" w:rsidRDefault="006D32D0" w:rsidP="00301EDA">
      <w:pPr>
        <w:numPr>
          <w:ilvl w:val="0"/>
          <w:numId w:val="1"/>
        </w:numPr>
        <w:ind w:left="822" w:right="70" w:hanging="362"/>
      </w:pPr>
      <w:r>
        <w:t>Incorporate these topics into the financial planning and budgeting of your organization.</w:t>
      </w:r>
    </w:p>
    <w:p w14:paraId="1A302C58" w14:textId="77777777" w:rsidR="00301EDA" w:rsidRDefault="00301EDA" w:rsidP="00301EDA">
      <w:pPr>
        <w:numPr>
          <w:ilvl w:val="0"/>
          <w:numId w:val="1"/>
        </w:numPr>
        <w:ind w:left="822" w:right="70" w:hanging="362"/>
      </w:pPr>
    </w:p>
    <w:p w14:paraId="138D454E" w14:textId="080C157A" w:rsidR="00AC2285" w:rsidRDefault="006D32D0" w:rsidP="00301EDA">
      <w:pPr>
        <w:pStyle w:val="Heading1"/>
        <w:ind w:left="95"/>
      </w:pPr>
      <w:r>
        <w:t>KEY COMPETENCIES ADDRESSED IN THIS COURSE</w:t>
      </w:r>
    </w:p>
    <w:p w14:paraId="52A09A3F" w14:textId="77777777" w:rsidR="00301EDA" w:rsidRPr="00301EDA" w:rsidRDefault="00301EDA" w:rsidP="00301EDA">
      <w:pPr>
        <w:rPr>
          <w:lang w:bidi="ar-SA"/>
        </w:rPr>
      </w:pPr>
    </w:p>
    <w:p w14:paraId="2DA875A3" w14:textId="77777777" w:rsidR="00AC2285" w:rsidRDefault="006D32D0">
      <w:pPr>
        <w:ind w:left="95" w:right="70"/>
      </w:pPr>
      <w:r>
        <w:t>A</w:t>
      </w:r>
      <w:r>
        <w:t>ssignments in this course will be used to assess progress against the competencies listed below. No student will receive a B or higher without demonstrating satisfactory progress toward mastery of each competency. The level of competency expected to be ac</w:t>
      </w:r>
      <w:r>
        <w:t xml:space="preserve">hieved is denoted in brackets according to the following key: </w:t>
      </w:r>
    </w:p>
    <w:p w14:paraId="32B5BFD0" w14:textId="1D3C0F02" w:rsidR="00AC2285" w:rsidRDefault="006D32D0">
      <w:pPr>
        <w:numPr>
          <w:ilvl w:val="0"/>
          <w:numId w:val="2"/>
        </w:numPr>
        <w:ind w:right="70" w:hanging="359"/>
      </w:pPr>
      <w:r>
        <w:t>[1] = Basic: Foundational understanding of knowledge/skill/</w:t>
      </w:r>
      <w:r w:rsidR="007E0276">
        <w:t>competency.</w:t>
      </w:r>
      <w:r>
        <w:t xml:space="preserve"> </w:t>
      </w:r>
    </w:p>
    <w:p w14:paraId="018C60FD" w14:textId="5AA930CF" w:rsidR="00AC2285" w:rsidRDefault="006D32D0">
      <w:pPr>
        <w:numPr>
          <w:ilvl w:val="0"/>
          <w:numId w:val="2"/>
        </w:numPr>
        <w:spacing w:after="1" w:line="238" w:lineRule="auto"/>
        <w:ind w:right="70" w:hanging="359"/>
      </w:pPr>
      <w:r>
        <w:t>[2] = Intermediate: Student demonstrates greater depth of understanding of this knowledge/skill/competency and can use th</w:t>
      </w:r>
      <w:r>
        <w:t>is ability to analyze a problem</w:t>
      </w:r>
      <w:r w:rsidR="007E0276">
        <w:t>.</w:t>
      </w:r>
      <w:r>
        <w:t xml:space="preserve"> </w:t>
      </w:r>
    </w:p>
    <w:p w14:paraId="78C49D91" w14:textId="4EE1363D" w:rsidR="00AC2285" w:rsidRDefault="006D32D0" w:rsidP="00301EDA">
      <w:pPr>
        <w:numPr>
          <w:ilvl w:val="0"/>
          <w:numId w:val="2"/>
        </w:numPr>
        <w:ind w:right="70" w:hanging="359"/>
      </w:pPr>
      <w:r>
        <w:t>[3] = Advanced: Student demonstrates expertise in this knowledge/skill/competency and can use this ability to evaluate, judge, and synthesize information.</w:t>
      </w:r>
    </w:p>
    <w:p w14:paraId="30EAAAB0" w14:textId="77777777" w:rsidR="00301EDA" w:rsidRDefault="00301EDA" w:rsidP="00301EDA">
      <w:pPr>
        <w:numPr>
          <w:ilvl w:val="0"/>
          <w:numId w:val="2"/>
        </w:numPr>
        <w:ind w:right="70" w:hanging="359"/>
      </w:pPr>
    </w:p>
    <w:p w14:paraId="3BDCD771" w14:textId="2F0FAF58" w:rsidR="00AC2285" w:rsidRDefault="006D32D0" w:rsidP="00301EDA">
      <w:pPr>
        <w:pStyle w:val="Heading1"/>
        <w:ind w:left="95"/>
      </w:pPr>
      <w:r>
        <w:t>Learning Assessment Table</w:t>
      </w:r>
    </w:p>
    <w:tbl>
      <w:tblPr>
        <w:tblStyle w:val="TableGrid"/>
        <w:tblW w:w="9359" w:type="dxa"/>
        <w:tblInd w:w="106" w:type="dxa"/>
        <w:tblCellMar>
          <w:top w:w="15" w:type="dxa"/>
          <w:left w:w="4" w:type="dxa"/>
          <w:right w:w="106" w:type="dxa"/>
        </w:tblCellMar>
        <w:tblLook w:val="04A0" w:firstRow="1" w:lastRow="0" w:firstColumn="1" w:lastColumn="0" w:noHBand="0" w:noVBand="1"/>
      </w:tblPr>
      <w:tblGrid>
        <w:gridCol w:w="3217"/>
        <w:gridCol w:w="2058"/>
        <w:gridCol w:w="2011"/>
        <w:gridCol w:w="2073"/>
      </w:tblGrid>
      <w:tr w:rsidR="00AC2285" w14:paraId="329473DE" w14:textId="77777777">
        <w:trPr>
          <w:trHeight w:val="1710"/>
        </w:trPr>
        <w:tc>
          <w:tcPr>
            <w:tcW w:w="3216" w:type="dxa"/>
            <w:tcBorders>
              <w:top w:val="single" w:sz="4" w:space="0" w:color="000000"/>
              <w:left w:val="single" w:sz="4" w:space="0" w:color="000000"/>
              <w:bottom w:val="single" w:sz="4" w:space="0" w:color="000000"/>
              <w:right w:val="single" w:sz="4" w:space="0" w:color="000000"/>
            </w:tcBorders>
          </w:tcPr>
          <w:p w14:paraId="40AFC476" w14:textId="77777777" w:rsidR="00AC2285" w:rsidRDefault="006D32D0">
            <w:pPr>
              <w:spacing w:after="0" w:line="259" w:lineRule="auto"/>
              <w:ind w:left="100" w:firstLine="0"/>
            </w:pPr>
            <w:r>
              <w:rPr>
                <w:b/>
              </w:rPr>
              <w:t xml:space="preserve">Program Competency </w:t>
            </w:r>
          </w:p>
        </w:tc>
        <w:tc>
          <w:tcPr>
            <w:tcW w:w="2058" w:type="dxa"/>
            <w:tcBorders>
              <w:top w:val="single" w:sz="4" w:space="0" w:color="000000"/>
              <w:left w:val="single" w:sz="4" w:space="0" w:color="000000"/>
              <w:bottom w:val="single" w:sz="4" w:space="0" w:color="000000"/>
              <w:right w:val="single" w:sz="4" w:space="0" w:color="000000"/>
            </w:tcBorders>
          </w:tcPr>
          <w:p w14:paraId="3210BAC2" w14:textId="77777777" w:rsidR="00AC2285" w:rsidRDefault="006D32D0">
            <w:pPr>
              <w:spacing w:after="0" w:line="259" w:lineRule="auto"/>
              <w:ind w:left="1" w:firstLine="0"/>
            </w:pPr>
            <w:r>
              <w:rPr>
                <w:b/>
                <w:sz w:val="37"/>
              </w:rPr>
              <w:t xml:space="preserve"> </w:t>
            </w:r>
          </w:p>
          <w:p w14:paraId="46D980CA" w14:textId="77777777" w:rsidR="00AC2285" w:rsidRDefault="006D32D0">
            <w:pPr>
              <w:spacing w:after="0" w:line="259" w:lineRule="auto"/>
              <w:ind w:left="100" w:firstLine="0"/>
            </w:pPr>
            <w:r>
              <w:rPr>
                <w:b/>
              </w:rPr>
              <w:t xml:space="preserve">Corresponding </w:t>
            </w:r>
          </w:p>
          <w:p w14:paraId="212E96D5" w14:textId="77777777" w:rsidR="00AC2285" w:rsidRDefault="006D32D0">
            <w:pPr>
              <w:spacing w:after="0" w:line="259" w:lineRule="auto"/>
              <w:ind w:left="100" w:firstLine="0"/>
            </w:pPr>
            <w:r>
              <w:rPr>
                <w:b/>
              </w:rPr>
              <w:t xml:space="preserve">Course Learning </w:t>
            </w:r>
          </w:p>
          <w:p w14:paraId="135D2DDE" w14:textId="77777777" w:rsidR="00AC2285" w:rsidRDefault="006D32D0">
            <w:pPr>
              <w:spacing w:after="0" w:line="259" w:lineRule="auto"/>
              <w:ind w:left="100" w:firstLine="0"/>
            </w:pPr>
            <w:r>
              <w:rPr>
                <w:b/>
              </w:rPr>
              <w:t xml:space="preserve">Objective </w:t>
            </w:r>
          </w:p>
        </w:tc>
        <w:tc>
          <w:tcPr>
            <w:tcW w:w="2011" w:type="dxa"/>
            <w:tcBorders>
              <w:top w:val="single" w:sz="4" w:space="0" w:color="000000"/>
              <w:left w:val="single" w:sz="4" w:space="0" w:color="000000"/>
              <w:bottom w:val="single" w:sz="4" w:space="0" w:color="000000"/>
              <w:right w:val="single" w:sz="4" w:space="0" w:color="000000"/>
            </w:tcBorders>
          </w:tcPr>
          <w:p w14:paraId="6EB601E7" w14:textId="77777777" w:rsidR="00AC2285" w:rsidRDefault="006D32D0">
            <w:pPr>
              <w:spacing w:after="0" w:line="259" w:lineRule="auto"/>
              <w:ind w:left="98" w:firstLine="0"/>
            </w:pPr>
            <w:r>
              <w:rPr>
                <w:b/>
              </w:rPr>
              <w:t xml:space="preserve">Corresponding </w:t>
            </w:r>
          </w:p>
          <w:p w14:paraId="5773F340" w14:textId="77777777" w:rsidR="00AC2285" w:rsidRDefault="006D32D0">
            <w:pPr>
              <w:spacing w:after="0" w:line="259" w:lineRule="auto"/>
              <w:ind w:left="98" w:firstLine="0"/>
            </w:pPr>
            <w:r>
              <w:rPr>
                <w:b/>
              </w:rPr>
              <w:t xml:space="preserve">Assignment Title </w:t>
            </w:r>
          </w:p>
        </w:tc>
        <w:tc>
          <w:tcPr>
            <w:tcW w:w="2073" w:type="dxa"/>
            <w:tcBorders>
              <w:top w:val="single" w:sz="4" w:space="0" w:color="000000"/>
              <w:left w:val="single" w:sz="4" w:space="0" w:color="000000"/>
              <w:bottom w:val="single" w:sz="4" w:space="0" w:color="000000"/>
              <w:right w:val="single" w:sz="4" w:space="0" w:color="000000"/>
            </w:tcBorders>
            <w:vAlign w:val="center"/>
          </w:tcPr>
          <w:p w14:paraId="1647D3AA" w14:textId="77777777" w:rsidR="00AC2285" w:rsidRDefault="006D32D0">
            <w:pPr>
              <w:spacing w:after="0" w:line="259" w:lineRule="auto"/>
              <w:ind w:left="97" w:firstLine="0"/>
            </w:pPr>
            <w:r>
              <w:rPr>
                <w:b/>
              </w:rPr>
              <w:t xml:space="preserve">Level of </w:t>
            </w:r>
          </w:p>
          <w:p w14:paraId="5C8FEC6F" w14:textId="77777777" w:rsidR="00AC2285" w:rsidRDefault="006D32D0">
            <w:pPr>
              <w:spacing w:after="0" w:line="259" w:lineRule="auto"/>
              <w:ind w:left="97" w:firstLine="0"/>
            </w:pPr>
            <w:r>
              <w:rPr>
                <w:b/>
              </w:rPr>
              <w:t xml:space="preserve">Competency </w:t>
            </w:r>
          </w:p>
          <w:p w14:paraId="186E49B3" w14:textId="77777777" w:rsidR="00AC2285" w:rsidRDefault="006D32D0">
            <w:pPr>
              <w:spacing w:after="0" w:line="259" w:lineRule="auto"/>
              <w:ind w:left="97" w:firstLine="0"/>
            </w:pPr>
            <w:r>
              <w:rPr>
                <w:b/>
              </w:rPr>
              <w:t xml:space="preserve">Expected to </w:t>
            </w:r>
          </w:p>
          <w:p w14:paraId="5A0E16AB" w14:textId="77777777" w:rsidR="00AC2285" w:rsidRDefault="006D32D0">
            <w:pPr>
              <w:spacing w:after="0" w:line="259" w:lineRule="auto"/>
              <w:ind w:left="97" w:firstLine="0"/>
            </w:pPr>
            <w:r>
              <w:rPr>
                <w:b/>
              </w:rPr>
              <w:t xml:space="preserve">Achieve via the </w:t>
            </w:r>
          </w:p>
          <w:p w14:paraId="69887243" w14:textId="77777777" w:rsidR="00AC2285" w:rsidRDefault="006D32D0">
            <w:pPr>
              <w:spacing w:after="0" w:line="259" w:lineRule="auto"/>
              <w:ind w:left="97" w:firstLine="0"/>
            </w:pPr>
            <w:r>
              <w:rPr>
                <w:b/>
              </w:rPr>
              <w:t xml:space="preserve">Assignment </w:t>
            </w:r>
          </w:p>
        </w:tc>
      </w:tr>
      <w:tr w:rsidR="00AC2285" w14:paraId="6696A1F6" w14:textId="77777777">
        <w:trPr>
          <w:trHeight w:val="1710"/>
        </w:trPr>
        <w:tc>
          <w:tcPr>
            <w:tcW w:w="3216" w:type="dxa"/>
            <w:tcBorders>
              <w:top w:val="single" w:sz="4" w:space="0" w:color="000000"/>
              <w:left w:val="single" w:sz="4" w:space="0" w:color="000000"/>
              <w:bottom w:val="single" w:sz="4" w:space="0" w:color="000000"/>
              <w:right w:val="single" w:sz="4" w:space="0" w:color="000000"/>
            </w:tcBorders>
            <w:vAlign w:val="center"/>
          </w:tcPr>
          <w:p w14:paraId="042DEB56" w14:textId="77777777" w:rsidR="00AC2285" w:rsidRDefault="006D32D0">
            <w:pPr>
              <w:spacing w:after="0" w:line="259" w:lineRule="auto"/>
              <w:ind w:left="100" w:right="113" w:firstLine="0"/>
              <w:jc w:val="both"/>
            </w:pPr>
            <w:r>
              <w:t xml:space="preserve">The ability to synthesize evidence, and apply statistical, financial, economic and cost effectiveness methods in organizational analysis </w:t>
            </w:r>
          </w:p>
        </w:tc>
        <w:tc>
          <w:tcPr>
            <w:tcW w:w="2058" w:type="dxa"/>
            <w:tcBorders>
              <w:top w:val="single" w:sz="4" w:space="0" w:color="000000"/>
              <w:left w:val="single" w:sz="4" w:space="0" w:color="000000"/>
              <w:bottom w:val="single" w:sz="4" w:space="0" w:color="000000"/>
              <w:right w:val="single" w:sz="4" w:space="0" w:color="000000"/>
            </w:tcBorders>
          </w:tcPr>
          <w:p w14:paraId="49A3CEEF" w14:textId="77777777" w:rsidR="00AC2285" w:rsidRDefault="006D32D0">
            <w:pPr>
              <w:spacing w:after="0" w:line="259" w:lineRule="auto"/>
              <w:ind w:left="100" w:firstLine="0"/>
            </w:pPr>
            <w:r>
              <w:t xml:space="preserve">2, 3, 4, 5, 6 </w:t>
            </w:r>
          </w:p>
        </w:tc>
        <w:tc>
          <w:tcPr>
            <w:tcW w:w="2011" w:type="dxa"/>
            <w:tcBorders>
              <w:top w:val="single" w:sz="4" w:space="0" w:color="000000"/>
              <w:left w:val="single" w:sz="4" w:space="0" w:color="000000"/>
              <w:bottom w:val="single" w:sz="4" w:space="0" w:color="000000"/>
              <w:right w:val="single" w:sz="4" w:space="0" w:color="000000"/>
            </w:tcBorders>
          </w:tcPr>
          <w:p w14:paraId="2C467367" w14:textId="77777777" w:rsidR="00AC2285" w:rsidRDefault="006D32D0">
            <w:pPr>
              <w:spacing w:after="0" w:line="259" w:lineRule="auto"/>
              <w:ind w:left="0" w:firstLine="0"/>
            </w:pPr>
            <w:r>
              <w:rPr>
                <w:b/>
                <w:sz w:val="37"/>
              </w:rPr>
              <w:t xml:space="preserve"> </w:t>
            </w:r>
          </w:p>
          <w:p w14:paraId="25C60252" w14:textId="3CBB6F8C" w:rsidR="00AC2285" w:rsidRDefault="006D32D0">
            <w:pPr>
              <w:spacing w:after="0" w:line="259" w:lineRule="auto"/>
              <w:ind w:left="98" w:firstLine="0"/>
            </w:pPr>
            <w:r>
              <w:t>Homework</w:t>
            </w:r>
          </w:p>
          <w:p w14:paraId="5D8B1536" w14:textId="71A8C43A" w:rsidR="00B77136" w:rsidRDefault="00B77136">
            <w:pPr>
              <w:spacing w:after="0" w:line="259" w:lineRule="auto"/>
              <w:ind w:left="98" w:firstLine="0"/>
            </w:pPr>
            <w:r>
              <w:t>Case Study</w:t>
            </w:r>
          </w:p>
          <w:p w14:paraId="046D1B09" w14:textId="5BB9C521" w:rsidR="00AC2285" w:rsidRDefault="006D32D0" w:rsidP="00B77136">
            <w:pPr>
              <w:spacing w:after="0" w:line="259" w:lineRule="auto"/>
              <w:ind w:left="98" w:firstLine="0"/>
            </w:pPr>
            <w:r>
              <w:t xml:space="preserve">Final Exam </w:t>
            </w:r>
          </w:p>
        </w:tc>
        <w:tc>
          <w:tcPr>
            <w:tcW w:w="2073" w:type="dxa"/>
            <w:tcBorders>
              <w:top w:val="single" w:sz="4" w:space="0" w:color="000000"/>
              <w:left w:val="single" w:sz="4" w:space="0" w:color="000000"/>
              <w:bottom w:val="single" w:sz="4" w:space="0" w:color="000000"/>
              <w:right w:val="single" w:sz="4" w:space="0" w:color="000000"/>
            </w:tcBorders>
          </w:tcPr>
          <w:p w14:paraId="7E38DD81" w14:textId="77777777" w:rsidR="00AC2285" w:rsidRDefault="006D32D0">
            <w:pPr>
              <w:spacing w:after="0" w:line="259" w:lineRule="auto"/>
              <w:ind w:left="97" w:firstLine="0"/>
            </w:pPr>
            <w:r>
              <w:t xml:space="preserve">2 </w:t>
            </w:r>
          </w:p>
        </w:tc>
      </w:tr>
      <w:tr w:rsidR="00AC2285" w14:paraId="18B1A1E6" w14:textId="77777777">
        <w:trPr>
          <w:trHeight w:val="1866"/>
        </w:trPr>
        <w:tc>
          <w:tcPr>
            <w:tcW w:w="3216" w:type="dxa"/>
            <w:tcBorders>
              <w:top w:val="single" w:sz="4" w:space="0" w:color="000000"/>
              <w:left w:val="single" w:sz="4" w:space="0" w:color="000000"/>
              <w:bottom w:val="single" w:sz="4" w:space="0" w:color="000000"/>
              <w:right w:val="single" w:sz="4" w:space="0" w:color="000000"/>
            </w:tcBorders>
            <w:vAlign w:val="center"/>
          </w:tcPr>
          <w:p w14:paraId="3BD03D33" w14:textId="77777777" w:rsidR="00AC2285" w:rsidRDefault="006D32D0">
            <w:pPr>
              <w:spacing w:after="0" w:line="259" w:lineRule="auto"/>
              <w:ind w:left="100" w:right="72" w:firstLine="0"/>
              <w:jc w:val="both"/>
            </w:pPr>
            <w:r>
              <w:lastRenderedPageBreak/>
              <w:t xml:space="preserve">The ability to use information systems and evidence-based management principles for problem-solving, strategic planning and decision-making, and measuring change </w:t>
            </w:r>
          </w:p>
        </w:tc>
        <w:tc>
          <w:tcPr>
            <w:tcW w:w="2058" w:type="dxa"/>
            <w:tcBorders>
              <w:top w:val="single" w:sz="4" w:space="0" w:color="000000"/>
              <w:left w:val="single" w:sz="4" w:space="0" w:color="000000"/>
              <w:bottom w:val="single" w:sz="4" w:space="0" w:color="000000"/>
              <w:right w:val="single" w:sz="4" w:space="0" w:color="000000"/>
            </w:tcBorders>
          </w:tcPr>
          <w:p w14:paraId="397C40F8" w14:textId="77777777" w:rsidR="00AC2285" w:rsidRDefault="006D32D0">
            <w:pPr>
              <w:spacing w:after="0" w:line="259" w:lineRule="auto"/>
              <w:ind w:left="100" w:firstLine="0"/>
            </w:pPr>
            <w:r>
              <w:t xml:space="preserve">2, 3, 4, 5, 6 </w:t>
            </w:r>
          </w:p>
        </w:tc>
        <w:tc>
          <w:tcPr>
            <w:tcW w:w="2011" w:type="dxa"/>
            <w:tcBorders>
              <w:top w:val="single" w:sz="4" w:space="0" w:color="000000"/>
              <w:left w:val="single" w:sz="4" w:space="0" w:color="000000"/>
              <w:bottom w:val="single" w:sz="4" w:space="0" w:color="000000"/>
              <w:right w:val="single" w:sz="4" w:space="0" w:color="000000"/>
            </w:tcBorders>
          </w:tcPr>
          <w:p w14:paraId="6ED5353F" w14:textId="77777777" w:rsidR="00AC2285" w:rsidRDefault="006D32D0">
            <w:pPr>
              <w:spacing w:after="164" w:line="259" w:lineRule="auto"/>
              <w:ind w:left="0" w:firstLine="0"/>
            </w:pPr>
            <w:r>
              <w:rPr>
                <w:b/>
                <w:sz w:val="26"/>
              </w:rPr>
              <w:t xml:space="preserve"> </w:t>
            </w:r>
          </w:p>
          <w:p w14:paraId="222E245E" w14:textId="77777777" w:rsidR="00B77136" w:rsidRDefault="00B77136" w:rsidP="00B77136">
            <w:pPr>
              <w:spacing w:after="0" w:line="259" w:lineRule="auto"/>
              <w:ind w:left="98" w:firstLine="0"/>
            </w:pPr>
            <w:r>
              <w:t>Homework</w:t>
            </w:r>
          </w:p>
          <w:p w14:paraId="5F35DD66" w14:textId="77777777" w:rsidR="00B77136" w:rsidRDefault="00B77136" w:rsidP="00B77136">
            <w:pPr>
              <w:spacing w:after="0" w:line="259" w:lineRule="auto"/>
              <w:ind w:left="98" w:firstLine="0"/>
            </w:pPr>
            <w:r>
              <w:t>Case Study</w:t>
            </w:r>
          </w:p>
          <w:p w14:paraId="48FF9F44" w14:textId="307B7530" w:rsidR="00AC2285" w:rsidRDefault="00B77136" w:rsidP="00B77136">
            <w:pPr>
              <w:spacing w:after="0" w:line="259" w:lineRule="auto"/>
              <w:ind w:left="98" w:firstLine="0"/>
            </w:pPr>
            <w:r>
              <w:t>Final Exam</w:t>
            </w:r>
          </w:p>
        </w:tc>
        <w:tc>
          <w:tcPr>
            <w:tcW w:w="2073" w:type="dxa"/>
            <w:tcBorders>
              <w:top w:val="single" w:sz="4" w:space="0" w:color="000000"/>
              <w:left w:val="single" w:sz="4" w:space="0" w:color="000000"/>
              <w:bottom w:val="single" w:sz="4" w:space="0" w:color="000000"/>
              <w:right w:val="single" w:sz="4" w:space="0" w:color="000000"/>
            </w:tcBorders>
          </w:tcPr>
          <w:p w14:paraId="56626B0C" w14:textId="77777777" w:rsidR="00AC2285" w:rsidRDefault="006D32D0">
            <w:pPr>
              <w:spacing w:after="0" w:line="259" w:lineRule="auto"/>
              <w:ind w:left="97" w:firstLine="0"/>
            </w:pPr>
            <w:r>
              <w:t xml:space="preserve">2 </w:t>
            </w:r>
          </w:p>
        </w:tc>
      </w:tr>
      <w:tr w:rsidR="00AC2285" w14:paraId="4C2C8440" w14:textId="77777777">
        <w:trPr>
          <w:trHeight w:val="1710"/>
        </w:trPr>
        <w:tc>
          <w:tcPr>
            <w:tcW w:w="3216" w:type="dxa"/>
            <w:tcBorders>
              <w:top w:val="single" w:sz="4" w:space="0" w:color="000000"/>
              <w:left w:val="single" w:sz="4" w:space="0" w:color="000000"/>
              <w:bottom w:val="single" w:sz="4" w:space="0" w:color="000000"/>
              <w:right w:val="single" w:sz="4" w:space="0" w:color="000000"/>
            </w:tcBorders>
            <w:vAlign w:val="center"/>
          </w:tcPr>
          <w:p w14:paraId="719CB5AA" w14:textId="77777777" w:rsidR="00AC2285" w:rsidRDefault="006D32D0">
            <w:pPr>
              <w:spacing w:after="0" w:line="259" w:lineRule="auto"/>
              <w:ind w:left="100" w:right="356" w:firstLine="0"/>
              <w:jc w:val="both"/>
            </w:pPr>
            <w:r>
              <w:t xml:space="preserve">The ability to hold people accountable to standards of performance and assure organizational, professional and ethical compliance </w:t>
            </w:r>
          </w:p>
        </w:tc>
        <w:tc>
          <w:tcPr>
            <w:tcW w:w="2058" w:type="dxa"/>
            <w:tcBorders>
              <w:top w:val="single" w:sz="4" w:space="0" w:color="000000"/>
              <w:left w:val="single" w:sz="4" w:space="0" w:color="000000"/>
              <w:bottom w:val="single" w:sz="4" w:space="0" w:color="000000"/>
              <w:right w:val="single" w:sz="4" w:space="0" w:color="000000"/>
            </w:tcBorders>
          </w:tcPr>
          <w:p w14:paraId="285BC8A9" w14:textId="77777777" w:rsidR="00AC2285" w:rsidRDefault="006D32D0">
            <w:pPr>
              <w:spacing w:after="0" w:line="259" w:lineRule="auto"/>
              <w:ind w:left="100" w:firstLine="0"/>
            </w:pPr>
            <w:r>
              <w:t xml:space="preserve">6, 7 </w:t>
            </w:r>
          </w:p>
        </w:tc>
        <w:tc>
          <w:tcPr>
            <w:tcW w:w="2011" w:type="dxa"/>
            <w:tcBorders>
              <w:top w:val="single" w:sz="4" w:space="0" w:color="000000"/>
              <w:left w:val="single" w:sz="4" w:space="0" w:color="000000"/>
              <w:bottom w:val="single" w:sz="4" w:space="0" w:color="000000"/>
              <w:right w:val="single" w:sz="4" w:space="0" w:color="000000"/>
            </w:tcBorders>
          </w:tcPr>
          <w:p w14:paraId="642DD262" w14:textId="77777777" w:rsidR="00AC2285" w:rsidRDefault="006D32D0">
            <w:pPr>
              <w:spacing w:after="0" w:line="259" w:lineRule="auto"/>
              <w:ind w:left="0" w:firstLine="0"/>
            </w:pPr>
            <w:r>
              <w:rPr>
                <w:b/>
                <w:sz w:val="37"/>
              </w:rPr>
              <w:t xml:space="preserve"> </w:t>
            </w:r>
          </w:p>
          <w:p w14:paraId="685A9F1D" w14:textId="77777777" w:rsidR="00B77136" w:rsidRDefault="00B77136" w:rsidP="00B77136">
            <w:pPr>
              <w:spacing w:after="0" w:line="259" w:lineRule="auto"/>
              <w:ind w:left="98" w:firstLine="0"/>
            </w:pPr>
            <w:r>
              <w:t>Homework</w:t>
            </w:r>
          </w:p>
          <w:p w14:paraId="77971836" w14:textId="77777777" w:rsidR="00B77136" w:rsidRDefault="00B77136" w:rsidP="00B77136">
            <w:pPr>
              <w:spacing w:after="0" w:line="259" w:lineRule="auto"/>
              <w:ind w:left="98" w:firstLine="0"/>
            </w:pPr>
            <w:r>
              <w:t>Case Study</w:t>
            </w:r>
          </w:p>
          <w:p w14:paraId="2CC95E12" w14:textId="7A88D968" w:rsidR="00AC2285" w:rsidRDefault="00B77136" w:rsidP="00B77136">
            <w:pPr>
              <w:spacing w:after="0" w:line="259" w:lineRule="auto"/>
              <w:ind w:left="98" w:firstLine="0"/>
            </w:pPr>
            <w:r>
              <w:t>Final Exam</w:t>
            </w:r>
          </w:p>
        </w:tc>
        <w:tc>
          <w:tcPr>
            <w:tcW w:w="2073" w:type="dxa"/>
            <w:tcBorders>
              <w:top w:val="single" w:sz="4" w:space="0" w:color="000000"/>
              <w:left w:val="single" w:sz="4" w:space="0" w:color="000000"/>
              <w:bottom w:val="single" w:sz="4" w:space="0" w:color="000000"/>
              <w:right w:val="single" w:sz="4" w:space="0" w:color="000000"/>
            </w:tcBorders>
          </w:tcPr>
          <w:p w14:paraId="04A5153D" w14:textId="77777777" w:rsidR="00AC2285" w:rsidRDefault="006D32D0">
            <w:pPr>
              <w:spacing w:after="0" w:line="259" w:lineRule="auto"/>
              <w:ind w:left="97" w:firstLine="0"/>
            </w:pPr>
            <w:r>
              <w:t xml:space="preserve">2 </w:t>
            </w:r>
          </w:p>
        </w:tc>
      </w:tr>
      <w:tr w:rsidR="00AC2285" w14:paraId="029E92F5" w14:textId="77777777">
        <w:trPr>
          <w:trHeight w:val="1870"/>
        </w:trPr>
        <w:tc>
          <w:tcPr>
            <w:tcW w:w="3216" w:type="dxa"/>
            <w:tcBorders>
              <w:top w:val="single" w:sz="4" w:space="0" w:color="000000"/>
              <w:left w:val="single" w:sz="4" w:space="0" w:color="000000"/>
              <w:bottom w:val="single" w:sz="8" w:space="0" w:color="000000"/>
              <w:right w:val="single" w:sz="4" w:space="0" w:color="000000"/>
            </w:tcBorders>
          </w:tcPr>
          <w:p w14:paraId="62DA62D7" w14:textId="77777777" w:rsidR="00AC2285" w:rsidRDefault="006D32D0">
            <w:pPr>
              <w:spacing w:after="0" w:line="259" w:lineRule="auto"/>
              <w:ind w:left="100" w:right="210" w:firstLine="0"/>
              <w:jc w:val="both"/>
            </w:pPr>
            <w:r>
              <w:t xml:space="preserve">The ability to draw implications and conclusions to develop an evolving vision that leads to organizational viability </w:t>
            </w:r>
          </w:p>
        </w:tc>
        <w:tc>
          <w:tcPr>
            <w:tcW w:w="2058" w:type="dxa"/>
            <w:tcBorders>
              <w:top w:val="single" w:sz="4" w:space="0" w:color="000000"/>
              <w:left w:val="single" w:sz="4" w:space="0" w:color="000000"/>
              <w:bottom w:val="single" w:sz="8" w:space="0" w:color="000000"/>
              <w:right w:val="single" w:sz="4" w:space="0" w:color="000000"/>
            </w:tcBorders>
          </w:tcPr>
          <w:p w14:paraId="666EC70A" w14:textId="77777777" w:rsidR="00AC2285" w:rsidRDefault="006D32D0">
            <w:pPr>
              <w:spacing w:after="0" w:line="259" w:lineRule="auto"/>
              <w:ind w:left="100" w:firstLine="0"/>
            </w:pPr>
            <w:r>
              <w:t xml:space="preserve">1 </w:t>
            </w:r>
          </w:p>
        </w:tc>
        <w:tc>
          <w:tcPr>
            <w:tcW w:w="2011" w:type="dxa"/>
            <w:tcBorders>
              <w:top w:val="single" w:sz="4" w:space="0" w:color="000000"/>
              <w:left w:val="single" w:sz="4" w:space="0" w:color="000000"/>
              <w:bottom w:val="single" w:sz="8" w:space="0" w:color="000000"/>
              <w:right w:val="single" w:sz="4" w:space="0" w:color="000000"/>
            </w:tcBorders>
          </w:tcPr>
          <w:p w14:paraId="579394B5" w14:textId="77777777" w:rsidR="00B77136" w:rsidRDefault="00B77136" w:rsidP="00B77136">
            <w:pPr>
              <w:spacing w:after="0" w:line="259" w:lineRule="auto"/>
              <w:ind w:left="98" w:firstLine="0"/>
            </w:pPr>
            <w:r>
              <w:t>Homework</w:t>
            </w:r>
          </w:p>
          <w:p w14:paraId="53BCBE7E" w14:textId="77777777" w:rsidR="00B77136" w:rsidRDefault="00B77136" w:rsidP="00B77136">
            <w:pPr>
              <w:spacing w:after="0" w:line="259" w:lineRule="auto"/>
              <w:ind w:left="98" w:firstLine="0"/>
            </w:pPr>
            <w:r>
              <w:t>Case Study</w:t>
            </w:r>
          </w:p>
          <w:p w14:paraId="505724F8" w14:textId="0AE4C058" w:rsidR="00AC2285" w:rsidRDefault="00B77136" w:rsidP="00B77136">
            <w:pPr>
              <w:spacing w:after="0" w:line="259" w:lineRule="auto"/>
              <w:ind w:left="98" w:firstLine="0"/>
            </w:pPr>
            <w:r>
              <w:t>Final Exam</w:t>
            </w:r>
          </w:p>
        </w:tc>
        <w:tc>
          <w:tcPr>
            <w:tcW w:w="2073" w:type="dxa"/>
            <w:tcBorders>
              <w:top w:val="single" w:sz="4" w:space="0" w:color="000000"/>
              <w:left w:val="single" w:sz="4" w:space="0" w:color="000000"/>
              <w:bottom w:val="single" w:sz="8" w:space="0" w:color="000000"/>
              <w:right w:val="single" w:sz="4" w:space="0" w:color="000000"/>
            </w:tcBorders>
          </w:tcPr>
          <w:p w14:paraId="5FDED502" w14:textId="77777777" w:rsidR="00AC2285" w:rsidRDefault="006D32D0">
            <w:pPr>
              <w:spacing w:after="0" w:line="259" w:lineRule="auto"/>
              <w:ind w:left="97" w:firstLine="0"/>
            </w:pPr>
            <w:r>
              <w:t xml:space="preserve">2 </w:t>
            </w:r>
          </w:p>
        </w:tc>
      </w:tr>
      <w:tr w:rsidR="00AC2285" w14:paraId="548087EB" w14:textId="77777777">
        <w:trPr>
          <w:trHeight w:val="1716"/>
        </w:trPr>
        <w:tc>
          <w:tcPr>
            <w:tcW w:w="3216" w:type="dxa"/>
            <w:tcBorders>
              <w:top w:val="single" w:sz="8" w:space="0" w:color="000000"/>
              <w:left w:val="single" w:sz="4" w:space="0" w:color="000000"/>
              <w:bottom w:val="single" w:sz="4" w:space="0" w:color="000000"/>
              <w:right w:val="single" w:sz="4" w:space="0" w:color="000000"/>
            </w:tcBorders>
            <w:vAlign w:val="center"/>
          </w:tcPr>
          <w:p w14:paraId="187883B1" w14:textId="77777777" w:rsidR="00AC2285" w:rsidRDefault="006D32D0">
            <w:pPr>
              <w:spacing w:after="0" w:line="259" w:lineRule="auto"/>
              <w:ind w:left="100" w:right="80" w:firstLine="0"/>
              <w:jc w:val="both"/>
            </w:pPr>
            <w:r>
              <w:t xml:space="preserve">An understanding of healthcare financing and the ability to use financial analysis as a tool for organizational control </w:t>
            </w:r>
          </w:p>
        </w:tc>
        <w:tc>
          <w:tcPr>
            <w:tcW w:w="2058" w:type="dxa"/>
            <w:tcBorders>
              <w:top w:val="single" w:sz="8" w:space="0" w:color="000000"/>
              <w:left w:val="single" w:sz="4" w:space="0" w:color="000000"/>
              <w:bottom w:val="single" w:sz="4" w:space="0" w:color="000000"/>
              <w:right w:val="single" w:sz="4" w:space="0" w:color="000000"/>
            </w:tcBorders>
          </w:tcPr>
          <w:p w14:paraId="51DEAB76" w14:textId="77777777" w:rsidR="00AC2285" w:rsidRDefault="006D32D0">
            <w:pPr>
              <w:spacing w:after="0" w:line="259" w:lineRule="auto"/>
              <w:ind w:left="100" w:firstLine="0"/>
            </w:pPr>
            <w:r>
              <w:t xml:space="preserve">1, 2, 3, 4, 5, 6 </w:t>
            </w:r>
          </w:p>
        </w:tc>
        <w:tc>
          <w:tcPr>
            <w:tcW w:w="2011" w:type="dxa"/>
            <w:tcBorders>
              <w:top w:val="single" w:sz="8" w:space="0" w:color="000000"/>
              <w:left w:val="single" w:sz="4" w:space="0" w:color="000000"/>
              <w:bottom w:val="single" w:sz="4" w:space="0" w:color="000000"/>
              <w:right w:val="single" w:sz="4" w:space="0" w:color="000000"/>
            </w:tcBorders>
          </w:tcPr>
          <w:p w14:paraId="6664A874" w14:textId="77777777" w:rsidR="00AC2285" w:rsidRDefault="006D32D0">
            <w:pPr>
              <w:spacing w:after="0" w:line="259" w:lineRule="auto"/>
              <w:ind w:left="0" w:firstLine="0"/>
            </w:pPr>
            <w:r>
              <w:rPr>
                <w:b/>
                <w:sz w:val="37"/>
              </w:rPr>
              <w:t xml:space="preserve"> </w:t>
            </w:r>
          </w:p>
          <w:p w14:paraId="78D77200" w14:textId="77777777" w:rsidR="00B77136" w:rsidRDefault="00B77136" w:rsidP="00B77136">
            <w:pPr>
              <w:spacing w:after="0" w:line="259" w:lineRule="auto"/>
              <w:ind w:left="98" w:firstLine="0"/>
            </w:pPr>
            <w:r>
              <w:t>Homework</w:t>
            </w:r>
          </w:p>
          <w:p w14:paraId="7C3D5837" w14:textId="77777777" w:rsidR="00B77136" w:rsidRDefault="00B77136" w:rsidP="00B77136">
            <w:pPr>
              <w:spacing w:after="0" w:line="259" w:lineRule="auto"/>
              <w:ind w:left="98" w:firstLine="0"/>
            </w:pPr>
            <w:r>
              <w:t>Case Study</w:t>
            </w:r>
          </w:p>
          <w:p w14:paraId="50540C2A" w14:textId="586E3DAD" w:rsidR="00AC2285" w:rsidRDefault="00B77136" w:rsidP="00B77136">
            <w:pPr>
              <w:spacing w:after="0" w:line="259" w:lineRule="auto"/>
              <w:ind w:left="98" w:firstLine="0"/>
            </w:pPr>
            <w:r>
              <w:t>Final Exam</w:t>
            </w:r>
          </w:p>
        </w:tc>
        <w:tc>
          <w:tcPr>
            <w:tcW w:w="2073" w:type="dxa"/>
            <w:tcBorders>
              <w:top w:val="single" w:sz="8" w:space="0" w:color="000000"/>
              <w:left w:val="single" w:sz="4" w:space="0" w:color="000000"/>
              <w:bottom w:val="single" w:sz="4" w:space="0" w:color="000000"/>
              <w:right w:val="single" w:sz="4" w:space="0" w:color="000000"/>
            </w:tcBorders>
          </w:tcPr>
          <w:p w14:paraId="233572C4" w14:textId="77777777" w:rsidR="00AC2285" w:rsidRDefault="006D32D0">
            <w:pPr>
              <w:spacing w:after="0" w:line="259" w:lineRule="auto"/>
              <w:ind w:left="97" w:firstLine="0"/>
            </w:pPr>
            <w:r>
              <w:t xml:space="preserve">2 </w:t>
            </w:r>
          </w:p>
        </w:tc>
      </w:tr>
    </w:tbl>
    <w:p w14:paraId="61EB1D7B" w14:textId="77777777" w:rsidR="00AC2285" w:rsidRDefault="006D32D0">
      <w:pPr>
        <w:spacing w:after="112" w:line="246" w:lineRule="auto"/>
        <w:ind w:left="0" w:right="9464" w:firstLine="0"/>
      </w:pPr>
      <w:r>
        <w:rPr>
          <w:b/>
          <w:sz w:val="20"/>
        </w:rPr>
        <w:t xml:space="preserve"> </w:t>
      </w:r>
      <w:r>
        <w:rPr>
          <w:b/>
          <w:sz w:val="21"/>
        </w:rPr>
        <w:t xml:space="preserve"> </w:t>
      </w:r>
    </w:p>
    <w:p w14:paraId="3838996A" w14:textId="6E6F23D5" w:rsidR="00AC2285" w:rsidRDefault="006D32D0" w:rsidP="00B77136">
      <w:pPr>
        <w:spacing w:after="8"/>
        <w:ind w:left="95"/>
      </w:pPr>
      <w:r>
        <w:rPr>
          <w:b/>
        </w:rPr>
        <w:t xml:space="preserve">COURSE MATERIALS </w:t>
      </w:r>
    </w:p>
    <w:p w14:paraId="3111BDB5" w14:textId="77777777" w:rsidR="00B77136" w:rsidRDefault="00B77136" w:rsidP="00B77136">
      <w:pPr>
        <w:spacing w:after="8"/>
        <w:ind w:left="95"/>
      </w:pPr>
    </w:p>
    <w:p w14:paraId="6E624C19" w14:textId="77777777" w:rsidR="00AC2285" w:rsidRDefault="006D32D0">
      <w:pPr>
        <w:pStyle w:val="Heading1"/>
        <w:ind w:left="95"/>
      </w:pPr>
      <w:r>
        <w:rPr>
          <w:b w:val="0"/>
        </w:rPr>
        <w:t xml:space="preserve">The required text for this course is Kristin L. Reiter and Paula H Song, </w:t>
      </w:r>
      <w:r>
        <w:t>Gapenski’s Healthcare Finance: An Introduction to Accounting and Financial Management, 7</w:t>
      </w:r>
      <w:r>
        <w:rPr>
          <w:vertAlign w:val="superscript"/>
        </w:rPr>
        <w:t>th</w:t>
      </w:r>
      <w:r>
        <w:t xml:space="preserve"> Edition</w:t>
      </w:r>
      <w:r>
        <w:rPr>
          <w:b w:val="0"/>
          <w:i/>
        </w:rPr>
        <w:t xml:space="preserve"> </w:t>
      </w:r>
      <w:r>
        <w:rPr>
          <w:b w:val="0"/>
        </w:rPr>
        <w:t xml:space="preserve">(Chicago, </w:t>
      </w:r>
    </w:p>
    <w:p w14:paraId="4C0E5E0E" w14:textId="77777777" w:rsidR="00AC2285" w:rsidRDefault="006D32D0">
      <w:pPr>
        <w:ind w:left="95" w:right="70"/>
      </w:pPr>
      <w:r>
        <w:t>IL: Health Administration Press), 2021. Throughout the syllabus, this tex</w:t>
      </w:r>
      <w:r>
        <w:t xml:space="preserve">t is referred to as </w:t>
      </w:r>
    </w:p>
    <w:p w14:paraId="1F236C26" w14:textId="1F20072E" w:rsidR="00AC2285" w:rsidRDefault="006D32D0" w:rsidP="00D0453F">
      <w:pPr>
        <w:ind w:left="95" w:right="70"/>
      </w:pPr>
      <w:r>
        <w:t xml:space="preserve">“Reiter and Song.” Page numbers referenced in the syllabus refer to the </w:t>
      </w:r>
      <w:r w:rsidR="003D1037">
        <w:t>hard</w:t>
      </w:r>
      <w:r>
        <w:t xml:space="preserve"> bound version and not the e-book. Older editions are likely sufficient for materials, but students should verify that homework problems are the correct ones.</w:t>
      </w:r>
      <w:r>
        <w:rPr>
          <w:sz w:val="23"/>
        </w:rPr>
        <w:t xml:space="preserve"> </w:t>
      </w:r>
    </w:p>
    <w:p w14:paraId="5D15BF20" w14:textId="3B535E56" w:rsidR="00AC2285" w:rsidRDefault="006D32D0" w:rsidP="00301EDA">
      <w:pPr>
        <w:ind w:left="100" w:right="70" w:firstLine="0"/>
      </w:pPr>
      <w:r>
        <w:t>The text may be purchased from the New York University bookstore. It is also on reserve at the library. It may be accessed remotely through the library (see the Brightspace site for the link).</w:t>
      </w:r>
    </w:p>
    <w:p w14:paraId="0856D0CD" w14:textId="77777777" w:rsidR="00301EDA" w:rsidRDefault="00301EDA" w:rsidP="00301EDA">
      <w:pPr>
        <w:ind w:left="100" w:right="70" w:firstLine="0"/>
      </w:pPr>
    </w:p>
    <w:p w14:paraId="340D2F8D" w14:textId="4E74660B" w:rsidR="00AC2285" w:rsidRDefault="006D32D0" w:rsidP="00B77136">
      <w:pPr>
        <w:pStyle w:val="Heading1"/>
        <w:ind w:left="0" w:firstLine="0"/>
      </w:pPr>
      <w:r>
        <w:t xml:space="preserve">GRADING </w:t>
      </w:r>
    </w:p>
    <w:p w14:paraId="4EE4B606" w14:textId="77777777" w:rsidR="00B77136" w:rsidRPr="00B77136" w:rsidRDefault="00B77136" w:rsidP="00B77136">
      <w:pPr>
        <w:rPr>
          <w:lang w:bidi="ar-SA"/>
        </w:rPr>
      </w:pPr>
    </w:p>
    <w:p w14:paraId="29FBCCEA" w14:textId="54A065D7" w:rsidR="00AC2285" w:rsidRDefault="006F7F00" w:rsidP="00B77136">
      <w:pPr>
        <w:ind w:left="0" w:right="70" w:firstLine="0"/>
      </w:pPr>
      <w:r>
        <w:t>3</w:t>
      </w:r>
      <w:r w:rsidR="0022687A">
        <w:t xml:space="preserve"> Homework Assignments (</w:t>
      </w:r>
      <w:r w:rsidR="00A26487">
        <w:t>10</w:t>
      </w:r>
      <w:r w:rsidR="00F35ED0">
        <w:t xml:space="preserve"> points </w:t>
      </w:r>
      <w:r w:rsidR="0022687A">
        <w:t xml:space="preserve">each, </w:t>
      </w:r>
      <w:r>
        <w:t>3</w:t>
      </w:r>
      <w:r w:rsidR="00F35ED0">
        <w:t>0 points</w:t>
      </w:r>
      <w:r w:rsidR="0022687A">
        <w:t xml:space="preserve"> total) </w:t>
      </w:r>
    </w:p>
    <w:p w14:paraId="236AC083" w14:textId="2CB37227" w:rsidR="00AC2285" w:rsidRDefault="00B77136">
      <w:pPr>
        <w:spacing w:after="0" w:line="259" w:lineRule="auto"/>
        <w:ind w:left="0" w:firstLine="0"/>
      </w:pPr>
      <w:r>
        <w:t>Health Care Financial Improvement Case Study (</w:t>
      </w:r>
      <w:r w:rsidR="00CE413F">
        <w:t>written case study</w:t>
      </w:r>
      <w:r w:rsidR="00F35ED0">
        <w:t xml:space="preserve"> 20</w:t>
      </w:r>
      <w:r w:rsidR="00D0453F">
        <w:t xml:space="preserve"> </w:t>
      </w:r>
      <w:r w:rsidR="00F35ED0">
        <w:t>points</w:t>
      </w:r>
      <w:r w:rsidR="00D0453F">
        <w:t>)</w:t>
      </w:r>
    </w:p>
    <w:p w14:paraId="6D95B995" w14:textId="7A1449AE" w:rsidR="00D0453F" w:rsidRDefault="00D0453F">
      <w:pPr>
        <w:spacing w:after="0" w:line="259" w:lineRule="auto"/>
        <w:ind w:left="0" w:firstLine="0"/>
      </w:pPr>
      <w:r>
        <w:t>Health Care Financial Improvement Case Study (class presentation 10</w:t>
      </w:r>
      <w:r w:rsidR="00F35ED0">
        <w:t xml:space="preserve"> points</w:t>
      </w:r>
      <w:r>
        <w:t>)</w:t>
      </w:r>
    </w:p>
    <w:p w14:paraId="516834FC" w14:textId="227C6E99" w:rsidR="00AC2285" w:rsidRDefault="00B77136" w:rsidP="00B77136">
      <w:pPr>
        <w:ind w:left="0" w:right="70" w:firstLine="0"/>
      </w:pPr>
      <w:r>
        <w:t>Final Exam (</w:t>
      </w:r>
      <w:r w:rsidR="00F35ED0">
        <w:t>30 points</w:t>
      </w:r>
      <w:r>
        <w:t>)</w:t>
      </w:r>
    </w:p>
    <w:p w14:paraId="4418C9DE" w14:textId="61A34B30" w:rsidR="00B77136" w:rsidRDefault="00B77136" w:rsidP="00B77136">
      <w:pPr>
        <w:ind w:left="0" w:right="70" w:firstLine="0"/>
      </w:pPr>
      <w:r>
        <w:t>Class Attendance &amp; Participation (</w:t>
      </w:r>
      <w:r w:rsidR="009862CD">
        <w:t>1</w:t>
      </w:r>
      <w:r w:rsidR="00F35ED0">
        <w:t>0 points</w:t>
      </w:r>
      <w:r>
        <w:t>)</w:t>
      </w:r>
    </w:p>
    <w:p w14:paraId="361B200C" w14:textId="55969A09" w:rsidR="00E05272" w:rsidRPr="006C29EE" w:rsidRDefault="00E05272" w:rsidP="00E05272">
      <w:pPr>
        <w:rPr>
          <w:rFonts w:asciiTheme="majorHAnsi" w:hAnsiTheme="majorHAnsi" w:cs="Arial"/>
          <w:b/>
          <w:sz w:val="22"/>
          <w:szCs w:val="22"/>
        </w:rPr>
      </w:pPr>
      <w:r w:rsidRPr="006C29EE">
        <w:rPr>
          <w:rFonts w:asciiTheme="majorHAnsi" w:hAnsiTheme="majorHAnsi" w:cs="Arial"/>
          <w:b/>
          <w:sz w:val="22"/>
          <w:szCs w:val="22"/>
        </w:rPr>
        <w:lastRenderedPageBreak/>
        <w:t>Letter Grade</w:t>
      </w:r>
      <w:r w:rsidRPr="006C29EE">
        <w:rPr>
          <w:rFonts w:asciiTheme="majorHAnsi" w:hAnsiTheme="majorHAnsi" w:cs="Arial"/>
          <w:b/>
          <w:sz w:val="22"/>
          <w:szCs w:val="22"/>
        </w:rPr>
        <w:tab/>
        <w:t>P</w:t>
      </w:r>
      <w:r w:rsidR="00F35ED0">
        <w:rPr>
          <w:rFonts w:asciiTheme="majorHAnsi" w:hAnsiTheme="majorHAnsi" w:cs="Arial"/>
          <w:b/>
          <w:sz w:val="22"/>
          <w:szCs w:val="22"/>
        </w:rPr>
        <w:t>oints</w:t>
      </w:r>
      <w:r w:rsidRPr="006C29EE">
        <w:rPr>
          <w:rFonts w:asciiTheme="majorHAnsi" w:hAnsiTheme="majorHAnsi" w:cs="Arial"/>
          <w:b/>
          <w:sz w:val="22"/>
          <w:szCs w:val="22"/>
        </w:rPr>
        <w:tab/>
      </w:r>
      <w:r w:rsidRPr="006C29EE">
        <w:rPr>
          <w:rFonts w:asciiTheme="majorHAnsi" w:hAnsiTheme="majorHAnsi" w:cs="Arial"/>
          <w:b/>
          <w:sz w:val="22"/>
          <w:szCs w:val="22"/>
        </w:rPr>
        <w:tab/>
        <w:t>Letter Grade</w:t>
      </w:r>
      <w:r w:rsidRPr="006C29EE">
        <w:rPr>
          <w:rFonts w:asciiTheme="majorHAnsi" w:hAnsiTheme="majorHAnsi" w:cs="Arial"/>
          <w:b/>
          <w:sz w:val="22"/>
          <w:szCs w:val="22"/>
        </w:rPr>
        <w:tab/>
        <w:t>P</w:t>
      </w:r>
      <w:r w:rsidR="00F35ED0">
        <w:rPr>
          <w:rFonts w:asciiTheme="majorHAnsi" w:hAnsiTheme="majorHAnsi" w:cs="Arial"/>
          <w:b/>
          <w:sz w:val="22"/>
          <w:szCs w:val="22"/>
        </w:rPr>
        <w:t>oints</w:t>
      </w:r>
    </w:p>
    <w:p w14:paraId="49A94477" w14:textId="0DA03A64" w:rsidR="00E05272" w:rsidRPr="006C29EE" w:rsidRDefault="00E05272" w:rsidP="00E05272">
      <w:pPr>
        <w:rPr>
          <w:rFonts w:asciiTheme="majorHAnsi" w:hAnsiTheme="majorHAnsi" w:cs="Arial"/>
          <w:sz w:val="22"/>
          <w:szCs w:val="22"/>
        </w:rPr>
      </w:pPr>
      <w:r w:rsidRPr="006C29EE">
        <w:rPr>
          <w:rFonts w:asciiTheme="majorHAnsi" w:hAnsiTheme="majorHAnsi" w:cs="Arial"/>
          <w:sz w:val="22"/>
          <w:szCs w:val="22"/>
        </w:rPr>
        <w:t>A</w:t>
      </w:r>
      <w:r w:rsidRPr="006C29EE">
        <w:rPr>
          <w:rFonts w:asciiTheme="majorHAnsi" w:hAnsiTheme="majorHAnsi" w:cs="Arial"/>
          <w:sz w:val="22"/>
          <w:szCs w:val="22"/>
        </w:rPr>
        <w:tab/>
      </w:r>
      <w:r>
        <w:rPr>
          <w:rFonts w:asciiTheme="majorHAnsi" w:hAnsiTheme="majorHAnsi" w:cs="Arial"/>
          <w:sz w:val="22"/>
          <w:szCs w:val="22"/>
        </w:rPr>
        <w:tab/>
        <w:t xml:space="preserve">95 </w:t>
      </w:r>
      <w:r w:rsidR="00F35ED0">
        <w:rPr>
          <w:rFonts w:asciiTheme="majorHAnsi" w:hAnsiTheme="majorHAnsi" w:cs="Arial"/>
          <w:sz w:val="22"/>
          <w:szCs w:val="22"/>
        </w:rPr>
        <w:t>–</w:t>
      </w:r>
      <w:r>
        <w:rPr>
          <w:rFonts w:asciiTheme="majorHAnsi" w:hAnsiTheme="majorHAnsi" w:cs="Arial"/>
          <w:sz w:val="22"/>
          <w:szCs w:val="22"/>
        </w:rPr>
        <w:t xml:space="preserve"> 100</w:t>
      </w:r>
      <w:r w:rsidR="00F35ED0">
        <w:rPr>
          <w:rFonts w:asciiTheme="majorHAnsi" w:hAnsiTheme="majorHAnsi" w:cs="Arial"/>
          <w:sz w:val="22"/>
          <w:szCs w:val="22"/>
        </w:rPr>
        <w:t xml:space="preserve"> </w:t>
      </w:r>
      <w:r>
        <w:rPr>
          <w:rFonts w:asciiTheme="majorHAnsi" w:hAnsiTheme="majorHAnsi" w:cs="Arial"/>
          <w:sz w:val="22"/>
          <w:szCs w:val="22"/>
        </w:rPr>
        <w:tab/>
      </w:r>
      <w:r w:rsidRPr="006C29EE">
        <w:rPr>
          <w:rFonts w:asciiTheme="majorHAnsi" w:hAnsiTheme="majorHAnsi" w:cs="Arial"/>
          <w:sz w:val="22"/>
          <w:szCs w:val="22"/>
        </w:rPr>
        <w:t>C+</w:t>
      </w:r>
      <w:r w:rsidRPr="006C29EE">
        <w:rPr>
          <w:rFonts w:asciiTheme="majorHAnsi" w:hAnsiTheme="majorHAnsi" w:cs="Arial"/>
          <w:sz w:val="22"/>
          <w:szCs w:val="22"/>
        </w:rPr>
        <w:tab/>
      </w:r>
      <w:r>
        <w:rPr>
          <w:rFonts w:asciiTheme="majorHAnsi" w:hAnsiTheme="majorHAnsi" w:cs="Arial"/>
          <w:sz w:val="22"/>
          <w:szCs w:val="22"/>
        </w:rPr>
        <w:tab/>
      </w:r>
      <w:r w:rsidRPr="006C29EE">
        <w:rPr>
          <w:rFonts w:asciiTheme="majorHAnsi" w:hAnsiTheme="majorHAnsi" w:cs="Arial"/>
          <w:sz w:val="22"/>
          <w:szCs w:val="22"/>
        </w:rPr>
        <w:t>77 - 79</w:t>
      </w:r>
    </w:p>
    <w:p w14:paraId="7DB46B29" w14:textId="56ECD01D" w:rsidR="00E05272" w:rsidRPr="006C29EE" w:rsidRDefault="00E05272" w:rsidP="00E05272">
      <w:pPr>
        <w:rPr>
          <w:rFonts w:asciiTheme="majorHAnsi" w:hAnsiTheme="majorHAnsi" w:cs="Arial"/>
          <w:sz w:val="22"/>
          <w:szCs w:val="22"/>
        </w:rPr>
      </w:pPr>
      <w:r w:rsidRPr="006C29EE">
        <w:rPr>
          <w:rFonts w:asciiTheme="majorHAnsi" w:hAnsiTheme="majorHAnsi" w:cs="Arial"/>
          <w:sz w:val="22"/>
          <w:szCs w:val="22"/>
        </w:rPr>
        <w:t>A-</w:t>
      </w:r>
      <w:r w:rsidRPr="006C29EE">
        <w:rPr>
          <w:rFonts w:asciiTheme="majorHAnsi" w:hAnsiTheme="majorHAnsi" w:cs="Arial"/>
          <w:sz w:val="22"/>
          <w:szCs w:val="22"/>
        </w:rPr>
        <w:tab/>
      </w:r>
      <w:r>
        <w:rPr>
          <w:rFonts w:asciiTheme="majorHAnsi" w:hAnsiTheme="majorHAnsi" w:cs="Arial"/>
          <w:sz w:val="22"/>
          <w:szCs w:val="22"/>
        </w:rPr>
        <w:tab/>
        <w:t xml:space="preserve">90 </w:t>
      </w:r>
      <w:r w:rsidR="00F35ED0">
        <w:rPr>
          <w:rFonts w:asciiTheme="majorHAnsi" w:hAnsiTheme="majorHAnsi" w:cs="Arial"/>
          <w:sz w:val="22"/>
          <w:szCs w:val="22"/>
        </w:rPr>
        <w:t>–</w:t>
      </w:r>
      <w:r>
        <w:rPr>
          <w:rFonts w:asciiTheme="majorHAnsi" w:hAnsiTheme="majorHAnsi" w:cs="Arial"/>
          <w:sz w:val="22"/>
          <w:szCs w:val="22"/>
        </w:rPr>
        <w:t xml:space="preserve"> 94</w:t>
      </w:r>
      <w:r w:rsidR="00F35ED0">
        <w:rPr>
          <w:rFonts w:asciiTheme="majorHAnsi" w:hAnsiTheme="majorHAnsi" w:cs="Arial"/>
          <w:sz w:val="22"/>
          <w:szCs w:val="22"/>
        </w:rPr>
        <w:t xml:space="preserve">  </w:t>
      </w:r>
      <w:r>
        <w:rPr>
          <w:rFonts w:asciiTheme="majorHAnsi" w:hAnsiTheme="majorHAnsi" w:cs="Arial"/>
          <w:sz w:val="22"/>
          <w:szCs w:val="22"/>
        </w:rPr>
        <w:tab/>
      </w:r>
      <w:r w:rsidRPr="006C29EE">
        <w:rPr>
          <w:rFonts w:asciiTheme="majorHAnsi" w:hAnsiTheme="majorHAnsi" w:cs="Arial"/>
          <w:sz w:val="22"/>
          <w:szCs w:val="22"/>
        </w:rPr>
        <w:t>C</w:t>
      </w:r>
      <w:r w:rsidRPr="006C29EE">
        <w:rPr>
          <w:rFonts w:asciiTheme="majorHAnsi" w:hAnsiTheme="majorHAnsi" w:cs="Arial"/>
          <w:sz w:val="22"/>
          <w:szCs w:val="22"/>
        </w:rPr>
        <w:tab/>
      </w:r>
      <w:r>
        <w:rPr>
          <w:rFonts w:asciiTheme="majorHAnsi" w:hAnsiTheme="majorHAnsi" w:cs="Arial"/>
          <w:sz w:val="22"/>
          <w:szCs w:val="22"/>
        </w:rPr>
        <w:tab/>
      </w:r>
      <w:r w:rsidRPr="006C29EE">
        <w:rPr>
          <w:rFonts w:asciiTheme="majorHAnsi" w:hAnsiTheme="majorHAnsi" w:cs="Arial"/>
          <w:sz w:val="22"/>
          <w:szCs w:val="22"/>
        </w:rPr>
        <w:t>73 - 76</w:t>
      </w:r>
    </w:p>
    <w:p w14:paraId="0D7FED3F" w14:textId="55F8D4CE" w:rsidR="00E05272" w:rsidRPr="006C29EE" w:rsidRDefault="00E05272" w:rsidP="00E05272">
      <w:pPr>
        <w:rPr>
          <w:rFonts w:asciiTheme="majorHAnsi" w:hAnsiTheme="majorHAnsi" w:cs="Arial"/>
          <w:sz w:val="22"/>
          <w:szCs w:val="22"/>
        </w:rPr>
      </w:pPr>
      <w:r w:rsidRPr="006C29EE">
        <w:rPr>
          <w:rFonts w:asciiTheme="majorHAnsi" w:hAnsiTheme="majorHAnsi" w:cs="Arial"/>
          <w:sz w:val="22"/>
          <w:szCs w:val="22"/>
        </w:rPr>
        <w:t>B+</w:t>
      </w:r>
      <w:r w:rsidRPr="006C29EE">
        <w:rPr>
          <w:rFonts w:asciiTheme="majorHAnsi" w:hAnsiTheme="majorHAnsi" w:cs="Arial"/>
          <w:sz w:val="22"/>
          <w:szCs w:val="22"/>
        </w:rPr>
        <w:tab/>
      </w:r>
      <w:r>
        <w:rPr>
          <w:rFonts w:asciiTheme="majorHAnsi" w:hAnsiTheme="majorHAnsi" w:cs="Arial"/>
          <w:sz w:val="22"/>
          <w:szCs w:val="22"/>
        </w:rPr>
        <w:tab/>
        <w:t xml:space="preserve">87 </w:t>
      </w:r>
      <w:r w:rsidR="00F35ED0">
        <w:rPr>
          <w:rFonts w:asciiTheme="majorHAnsi" w:hAnsiTheme="majorHAnsi" w:cs="Arial"/>
          <w:sz w:val="22"/>
          <w:szCs w:val="22"/>
        </w:rPr>
        <w:t>–</w:t>
      </w:r>
      <w:r>
        <w:rPr>
          <w:rFonts w:asciiTheme="majorHAnsi" w:hAnsiTheme="majorHAnsi" w:cs="Arial"/>
          <w:sz w:val="22"/>
          <w:szCs w:val="22"/>
        </w:rPr>
        <w:t xml:space="preserve"> 89</w:t>
      </w:r>
      <w:r w:rsidR="00F35ED0">
        <w:rPr>
          <w:rFonts w:asciiTheme="majorHAnsi" w:hAnsiTheme="majorHAnsi" w:cs="Arial"/>
          <w:sz w:val="22"/>
          <w:szCs w:val="22"/>
        </w:rPr>
        <w:t xml:space="preserve">  </w:t>
      </w:r>
      <w:r>
        <w:rPr>
          <w:rFonts w:asciiTheme="majorHAnsi" w:hAnsiTheme="majorHAnsi" w:cs="Arial"/>
          <w:sz w:val="22"/>
          <w:szCs w:val="22"/>
        </w:rPr>
        <w:tab/>
      </w:r>
      <w:r w:rsidRPr="006C29EE">
        <w:rPr>
          <w:rFonts w:asciiTheme="majorHAnsi" w:hAnsiTheme="majorHAnsi" w:cs="Arial"/>
          <w:sz w:val="22"/>
          <w:szCs w:val="22"/>
        </w:rPr>
        <w:t>C-</w:t>
      </w:r>
      <w:r w:rsidRPr="006C29EE">
        <w:rPr>
          <w:rFonts w:asciiTheme="majorHAnsi" w:hAnsiTheme="majorHAnsi" w:cs="Arial"/>
          <w:sz w:val="22"/>
          <w:szCs w:val="22"/>
        </w:rPr>
        <w:tab/>
      </w:r>
      <w:r>
        <w:rPr>
          <w:rFonts w:asciiTheme="majorHAnsi" w:hAnsiTheme="majorHAnsi" w:cs="Arial"/>
          <w:sz w:val="22"/>
          <w:szCs w:val="22"/>
        </w:rPr>
        <w:tab/>
      </w:r>
      <w:r w:rsidRPr="006C29EE">
        <w:rPr>
          <w:rFonts w:asciiTheme="majorHAnsi" w:hAnsiTheme="majorHAnsi" w:cs="Arial"/>
          <w:sz w:val="22"/>
          <w:szCs w:val="22"/>
        </w:rPr>
        <w:t>70 - 72</w:t>
      </w:r>
    </w:p>
    <w:p w14:paraId="7FBD4C58" w14:textId="4608CEBC" w:rsidR="00E05272" w:rsidRPr="006C29EE" w:rsidRDefault="00E05272" w:rsidP="00E05272">
      <w:pPr>
        <w:rPr>
          <w:rFonts w:asciiTheme="majorHAnsi" w:hAnsiTheme="majorHAnsi" w:cs="Arial"/>
          <w:sz w:val="22"/>
          <w:szCs w:val="22"/>
        </w:rPr>
      </w:pPr>
      <w:r w:rsidRPr="006C29EE">
        <w:rPr>
          <w:rFonts w:asciiTheme="majorHAnsi" w:hAnsiTheme="majorHAnsi" w:cs="Arial"/>
          <w:sz w:val="22"/>
          <w:szCs w:val="22"/>
        </w:rPr>
        <w:t>B</w:t>
      </w:r>
      <w:r w:rsidRPr="006C29EE">
        <w:rPr>
          <w:rFonts w:asciiTheme="majorHAnsi" w:hAnsiTheme="majorHAnsi" w:cs="Arial"/>
          <w:sz w:val="22"/>
          <w:szCs w:val="22"/>
        </w:rPr>
        <w:tab/>
      </w:r>
      <w:r>
        <w:rPr>
          <w:rFonts w:asciiTheme="majorHAnsi" w:hAnsiTheme="majorHAnsi" w:cs="Arial"/>
          <w:sz w:val="22"/>
          <w:szCs w:val="22"/>
        </w:rPr>
        <w:tab/>
        <w:t xml:space="preserve">83 </w:t>
      </w:r>
      <w:r w:rsidR="00F35ED0">
        <w:rPr>
          <w:rFonts w:asciiTheme="majorHAnsi" w:hAnsiTheme="majorHAnsi" w:cs="Arial"/>
          <w:sz w:val="22"/>
          <w:szCs w:val="22"/>
        </w:rPr>
        <w:t>–</w:t>
      </w:r>
      <w:r>
        <w:rPr>
          <w:rFonts w:asciiTheme="majorHAnsi" w:hAnsiTheme="majorHAnsi" w:cs="Arial"/>
          <w:sz w:val="22"/>
          <w:szCs w:val="22"/>
        </w:rPr>
        <w:t xml:space="preserve"> 86</w:t>
      </w:r>
      <w:r w:rsidR="00F35ED0">
        <w:rPr>
          <w:rFonts w:asciiTheme="majorHAnsi" w:hAnsiTheme="majorHAnsi" w:cs="Arial"/>
          <w:sz w:val="22"/>
          <w:szCs w:val="22"/>
        </w:rPr>
        <w:t xml:space="preserve">  </w:t>
      </w:r>
      <w:r>
        <w:rPr>
          <w:rFonts w:asciiTheme="majorHAnsi" w:hAnsiTheme="majorHAnsi" w:cs="Arial"/>
          <w:sz w:val="22"/>
          <w:szCs w:val="22"/>
        </w:rPr>
        <w:tab/>
      </w:r>
      <w:r w:rsidRPr="006C29EE">
        <w:rPr>
          <w:rFonts w:asciiTheme="majorHAnsi" w:hAnsiTheme="majorHAnsi" w:cs="Arial"/>
          <w:sz w:val="22"/>
          <w:szCs w:val="22"/>
        </w:rPr>
        <w:t xml:space="preserve">D </w:t>
      </w:r>
      <w:r w:rsidRPr="006C29EE">
        <w:rPr>
          <w:rFonts w:asciiTheme="majorHAnsi" w:hAnsiTheme="majorHAnsi" w:cs="Arial"/>
          <w:i/>
          <w:sz w:val="22"/>
          <w:szCs w:val="22"/>
        </w:rPr>
        <w:tab/>
      </w:r>
      <w:r>
        <w:rPr>
          <w:rFonts w:asciiTheme="majorHAnsi" w:hAnsiTheme="majorHAnsi" w:cs="Arial"/>
          <w:i/>
          <w:sz w:val="22"/>
          <w:szCs w:val="22"/>
        </w:rPr>
        <w:tab/>
      </w:r>
      <w:r w:rsidRPr="006C29EE">
        <w:rPr>
          <w:rFonts w:asciiTheme="majorHAnsi" w:hAnsiTheme="majorHAnsi" w:cs="Arial"/>
          <w:sz w:val="22"/>
          <w:szCs w:val="22"/>
        </w:rPr>
        <w:t>60 - 69</w:t>
      </w:r>
    </w:p>
    <w:p w14:paraId="1C26D098" w14:textId="5AEFCB5A" w:rsidR="00E05272" w:rsidRPr="006C29EE" w:rsidRDefault="00E05272" w:rsidP="00E05272">
      <w:pPr>
        <w:rPr>
          <w:rFonts w:asciiTheme="majorHAnsi" w:hAnsiTheme="majorHAnsi" w:cs="Arial"/>
          <w:sz w:val="22"/>
          <w:szCs w:val="22"/>
        </w:rPr>
      </w:pPr>
      <w:r w:rsidRPr="006C29EE">
        <w:rPr>
          <w:rFonts w:asciiTheme="majorHAnsi" w:hAnsiTheme="majorHAnsi" w:cs="Arial"/>
          <w:sz w:val="22"/>
          <w:szCs w:val="22"/>
        </w:rPr>
        <w:t>B-</w:t>
      </w:r>
      <w:r w:rsidRPr="006C29EE">
        <w:rPr>
          <w:rFonts w:asciiTheme="majorHAnsi" w:hAnsiTheme="majorHAnsi" w:cs="Arial"/>
          <w:sz w:val="22"/>
          <w:szCs w:val="22"/>
        </w:rPr>
        <w:tab/>
      </w:r>
      <w:r>
        <w:rPr>
          <w:rFonts w:asciiTheme="majorHAnsi" w:hAnsiTheme="majorHAnsi" w:cs="Arial"/>
          <w:sz w:val="22"/>
          <w:szCs w:val="22"/>
        </w:rPr>
        <w:tab/>
        <w:t xml:space="preserve">80 </w:t>
      </w:r>
      <w:r w:rsidR="00F35ED0">
        <w:rPr>
          <w:rFonts w:asciiTheme="majorHAnsi" w:hAnsiTheme="majorHAnsi" w:cs="Arial"/>
          <w:sz w:val="22"/>
          <w:szCs w:val="22"/>
        </w:rPr>
        <w:t>–</w:t>
      </w:r>
      <w:r>
        <w:rPr>
          <w:rFonts w:asciiTheme="majorHAnsi" w:hAnsiTheme="majorHAnsi" w:cs="Arial"/>
          <w:sz w:val="22"/>
          <w:szCs w:val="22"/>
        </w:rPr>
        <w:t xml:space="preserve"> 82</w:t>
      </w:r>
      <w:r w:rsidR="00F35ED0">
        <w:rPr>
          <w:rFonts w:asciiTheme="majorHAnsi" w:hAnsiTheme="majorHAnsi" w:cs="Arial"/>
          <w:sz w:val="22"/>
          <w:szCs w:val="22"/>
        </w:rPr>
        <w:t xml:space="preserve">  </w:t>
      </w:r>
      <w:r>
        <w:rPr>
          <w:rFonts w:asciiTheme="majorHAnsi" w:hAnsiTheme="majorHAnsi" w:cs="Arial"/>
          <w:sz w:val="22"/>
          <w:szCs w:val="22"/>
        </w:rPr>
        <w:tab/>
      </w:r>
      <w:r w:rsidRPr="006C29EE">
        <w:rPr>
          <w:rFonts w:asciiTheme="majorHAnsi" w:hAnsiTheme="majorHAnsi" w:cs="Arial"/>
          <w:sz w:val="22"/>
          <w:szCs w:val="22"/>
        </w:rPr>
        <w:t>F</w:t>
      </w:r>
      <w:r w:rsidRPr="006C29EE">
        <w:rPr>
          <w:rFonts w:asciiTheme="majorHAnsi" w:hAnsiTheme="majorHAnsi" w:cs="Arial"/>
          <w:sz w:val="22"/>
          <w:szCs w:val="22"/>
        </w:rPr>
        <w:tab/>
      </w:r>
      <w:r>
        <w:rPr>
          <w:rFonts w:asciiTheme="majorHAnsi" w:hAnsiTheme="majorHAnsi" w:cs="Arial"/>
          <w:sz w:val="22"/>
          <w:szCs w:val="22"/>
        </w:rPr>
        <w:tab/>
      </w:r>
      <w:r w:rsidRPr="006C29EE">
        <w:rPr>
          <w:rFonts w:asciiTheme="majorHAnsi" w:hAnsiTheme="majorHAnsi" w:cs="Arial"/>
          <w:sz w:val="22"/>
          <w:szCs w:val="22"/>
        </w:rPr>
        <w:t>&lt;60</w:t>
      </w:r>
    </w:p>
    <w:p w14:paraId="0B7C2EC6" w14:textId="77777777" w:rsidR="00E05272" w:rsidRDefault="00E05272" w:rsidP="00B77136">
      <w:pPr>
        <w:ind w:left="0" w:right="70" w:firstLine="0"/>
      </w:pPr>
    </w:p>
    <w:p w14:paraId="25C587C2" w14:textId="6F88302D" w:rsidR="00AC2285" w:rsidRDefault="005350C6">
      <w:pPr>
        <w:pStyle w:val="Heading1"/>
        <w:spacing w:after="262"/>
        <w:ind w:left="95"/>
      </w:pPr>
      <w:r>
        <w:t xml:space="preserve">Homework </w:t>
      </w:r>
      <w:r w:rsidR="00191C47">
        <w:t>Assignment</w:t>
      </w:r>
      <w:r w:rsidR="007366DE">
        <w:t>s</w:t>
      </w:r>
    </w:p>
    <w:p w14:paraId="63AB634F" w14:textId="4A32C859" w:rsidR="00AC2285" w:rsidRPr="00B76033" w:rsidRDefault="00B76033" w:rsidP="00B77136">
      <w:pPr>
        <w:numPr>
          <w:ilvl w:val="0"/>
          <w:numId w:val="3"/>
        </w:numPr>
        <w:ind w:left="823" w:right="70" w:hanging="362"/>
        <w:rPr>
          <w:u w:val="single"/>
        </w:rPr>
      </w:pPr>
      <w:r>
        <w:t xml:space="preserve">Homework assignments are due prior to the beginning of the class. Solutions will be made available after class on Brightspace. </w:t>
      </w:r>
      <w:r w:rsidR="00E720FC">
        <w:rPr>
          <w:rFonts w:ascii="Constantia" w:hAnsi="Constantia"/>
          <w:sz w:val="22"/>
          <w:szCs w:val="22"/>
          <w:u w:val="single"/>
        </w:rPr>
        <w:t>Students</w:t>
      </w:r>
      <w:r w:rsidRPr="00B76033">
        <w:rPr>
          <w:rFonts w:ascii="Constantia" w:hAnsi="Constantia"/>
          <w:sz w:val="22"/>
          <w:szCs w:val="22"/>
          <w:u w:val="single"/>
        </w:rPr>
        <w:t xml:space="preserve"> are not permitted to use ChatGPT or other generative AI tools to complete the homework assignments. To learn the material, you must do the work yourself.</w:t>
      </w:r>
    </w:p>
    <w:p w14:paraId="46E947E3" w14:textId="69A9743A" w:rsidR="00AC2285" w:rsidRDefault="006D32D0" w:rsidP="00B77136">
      <w:pPr>
        <w:numPr>
          <w:ilvl w:val="0"/>
          <w:numId w:val="3"/>
        </w:numPr>
        <w:ind w:left="823" w:right="70" w:hanging="362"/>
      </w:pPr>
      <w:r>
        <w:t xml:space="preserve">Homework should be submitted through the Brightspace course site. Students are responsible for ensuring that they submit the homework on-time, that they have completed the assigned problems, </w:t>
      </w:r>
      <w:r>
        <w:rPr>
          <w:u w:val="single" w:color="000000"/>
        </w:rPr>
        <w:t>and that they turn in the corre</w:t>
      </w:r>
      <w:r>
        <w:rPr>
          <w:u w:val="single" w:color="000000"/>
        </w:rPr>
        <w:t>ct file</w:t>
      </w:r>
      <w:r>
        <w:t xml:space="preserve">. Assignments emailed to the professor are not acceptable. </w:t>
      </w:r>
    </w:p>
    <w:p w14:paraId="4F8FE80B" w14:textId="29AB1CE2" w:rsidR="00AC2285" w:rsidRDefault="006D32D0" w:rsidP="00B77136">
      <w:pPr>
        <w:numPr>
          <w:ilvl w:val="0"/>
          <w:numId w:val="3"/>
        </w:numPr>
        <w:ind w:left="823" w:right="70" w:hanging="362"/>
      </w:pPr>
      <w:r>
        <w:t xml:space="preserve">Students are encouraged to use Excel to complete the assignments. </w:t>
      </w:r>
    </w:p>
    <w:p w14:paraId="4D6A0235" w14:textId="4435D037" w:rsidR="00AC2285" w:rsidRDefault="006D32D0" w:rsidP="00301EDA">
      <w:pPr>
        <w:numPr>
          <w:ilvl w:val="0"/>
          <w:numId w:val="3"/>
        </w:numPr>
        <w:ind w:left="823" w:right="70" w:hanging="362"/>
      </w:pPr>
      <w:r>
        <w:t>Students will receive credit for making a good-faith effort. This means that all assigned problems are attempted. You may discuss questions with me prior to the due date.</w:t>
      </w:r>
    </w:p>
    <w:p w14:paraId="76E3835E" w14:textId="76ACBA12" w:rsidR="00AC2285" w:rsidRDefault="00B77136">
      <w:pPr>
        <w:pStyle w:val="Heading1"/>
        <w:ind w:left="95"/>
      </w:pPr>
      <w:r>
        <w:t>Health Care Financial Improvement Case Study – Team Assignment</w:t>
      </w:r>
    </w:p>
    <w:p w14:paraId="39732A39" w14:textId="77777777" w:rsidR="00B77136" w:rsidRPr="00B77136" w:rsidRDefault="00B77136" w:rsidP="00B77136">
      <w:pPr>
        <w:rPr>
          <w:lang w:bidi="ar-SA"/>
        </w:rPr>
      </w:pPr>
    </w:p>
    <w:p w14:paraId="76AFBC3E" w14:textId="7C3104BA" w:rsidR="00B77136" w:rsidRDefault="00B77136" w:rsidP="007366DE">
      <w:pPr>
        <w:autoSpaceDE w:val="0"/>
        <w:autoSpaceDN w:val="0"/>
        <w:adjustRightInd w:val="0"/>
        <w:ind w:left="100" w:firstLine="0"/>
        <w:rPr>
          <w:rFonts w:eastAsia="Calibri"/>
        </w:rPr>
      </w:pPr>
      <w:r>
        <w:rPr>
          <w:rFonts w:eastAsia="Calibri"/>
        </w:rPr>
        <w:t xml:space="preserve">Each team will select a </w:t>
      </w:r>
      <w:r w:rsidRPr="009B2D92">
        <w:rPr>
          <w:rFonts w:eastAsia="Calibri"/>
        </w:rPr>
        <w:t xml:space="preserve">successful </w:t>
      </w:r>
      <w:r>
        <w:rPr>
          <w:rFonts w:eastAsia="Calibri"/>
        </w:rPr>
        <w:t xml:space="preserve">financial improvement program or project that has been implemented at an institution where one of the team members works. The program or project selected for the case study will have achieved </w:t>
      </w:r>
      <w:r w:rsidRPr="009B2D92">
        <w:rPr>
          <w:rFonts w:eastAsia="Calibri"/>
        </w:rPr>
        <w:t>measurable financial improvement</w:t>
      </w:r>
      <w:r>
        <w:rPr>
          <w:rFonts w:eastAsia="Calibri"/>
        </w:rPr>
        <w:t xml:space="preserve"> at the institution, division, department or program in which it was implemented.  </w:t>
      </w:r>
      <w:r w:rsidRPr="009B2D92">
        <w:rPr>
          <w:rFonts w:eastAsia="Calibri"/>
          <w:b/>
          <w:u w:val="single"/>
        </w:rPr>
        <w:t>The student</w:t>
      </w:r>
      <w:r>
        <w:rPr>
          <w:rFonts w:eastAsia="Calibri"/>
          <w:b/>
          <w:u w:val="single"/>
        </w:rPr>
        <w:t>s</w:t>
      </w:r>
      <w:r w:rsidRPr="009B2D92">
        <w:rPr>
          <w:rFonts w:eastAsia="Calibri"/>
          <w:b/>
          <w:u w:val="single"/>
        </w:rPr>
        <w:t xml:space="preserve"> will meet with the leadership of the selected institution to discuss the selection of a successful program or project and to identify resources, including people and data, needed to complete the case study</w:t>
      </w:r>
      <w:r>
        <w:rPr>
          <w:rFonts w:eastAsia="Calibri"/>
        </w:rPr>
        <w:t xml:space="preserve">. </w:t>
      </w:r>
    </w:p>
    <w:p w14:paraId="4ED58185" w14:textId="77777777" w:rsidR="00B77136" w:rsidRDefault="00B77136" w:rsidP="00B77136">
      <w:pPr>
        <w:autoSpaceDE w:val="0"/>
        <w:autoSpaceDN w:val="0"/>
        <w:adjustRightInd w:val="0"/>
        <w:rPr>
          <w:rFonts w:eastAsia="Calibri"/>
        </w:rPr>
      </w:pPr>
    </w:p>
    <w:p w14:paraId="6FD6B3D7" w14:textId="77777777" w:rsidR="00B77136" w:rsidRDefault="00B77136" w:rsidP="00B77136">
      <w:pPr>
        <w:autoSpaceDE w:val="0"/>
        <w:autoSpaceDN w:val="0"/>
        <w:adjustRightInd w:val="0"/>
        <w:rPr>
          <w:rFonts w:eastAsia="Calibri"/>
        </w:rPr>
      </w:pPr>
      <w:r>
        <w:rPr>
          <w:rFonts w:eastAsia="Calibri"/>
        </w:rPr>
        <w:t>The Case Study will follow the format below:</w:t>
      </w:r>
    </w:p>
    <w:p w14:paraId="1ABE27DC" w14:textId="77777777" w:rsidR="00B77136" w:rsidRDefault="00B77136" w:rsidP="00B77136">
      <w:pPr>
        <w:pStyle w:val="ListParagraph"/>
        <w:numPr>
          <w:ilvl w:val="0"/>
          <w:numId w:val="6"/>
        </w:numPr>
        <w:autoSpaceDE w:val="0"/>
        <w:autoSpaceDN w:val="0"/>
        <w:adjustRightInd w:val="0"/>
        <w:rPr>
          <w:rFonts w:ascii="Times New Roman" w:eastAsia="Calibri" w:hAnsi="Times New Roman"/>
          <w:color w:val="000000"/>
        </w:rPr>
      </w:pPr>
      <w:r>
        <w:rPr>
          <w:rFonts w:ascii="Times New Roman" w:eastAsia="Calibri" w:hAnsi="Times New Roman"/>
          <w:color w:val="000000"/>
        </w:rPr>
        <w:t>Name and description of the program or project</w:t>
      </w:r>
    </w:p>
    <w:p w14:paraId="0C0BD401" w14:textId="175ED02D" w:rsidR="00B77136" w:rsidRDefault="00B77136" w:rsidP="00B77136">
      <w:pPr>
        <w:pStyle w:val="ListParagraph"/>
        <w:numPr>
          <w:ilvl w:val="0"/>
          <w:numId w:val="6"/>
        </w:numPr>
        <w:autoSpaceDE w:val="0"/>
        <w:autoSpaceDN w:val="0"/>
        <w:adjustRightInd w:val="0"/>
        <w:rPr>
          <w:rFonts w:ascii="Times New Roman" w:eastAsia="Calibri" w:hAnsi="Times New Roman"/>
          <w:color w:val="000000"/>
        </w:rPr>
      </w:pPr>
      <w:r>
        <w:rPr>
          <w:rFonts w:ascii="Times New Roman" w:eastAsia="Calibri" w:hAnsi="Times New Roman"/>
          <w:color w:val="000000"/>
        </w:rPr>
        <w:t>Description of the initial problem</w:t>
      </w:r>
      <w:r w:rsidR="00AA7558">
        <w:rPr>
          <w:rFonts w:ascii="Times New Roman" w:eastAsia="Calibri" w:hAnsi="Times New Roman"/>
          <w:color w:val="000000"/>
        </w:rPr>
        <w:t xml:space="preserve"> or opportunity</w:t>
      </w:r>
      <w:r>
        <w:rPr>
          <w:rFonts w:ascii="Times New Roman" w:eastAsia="Calibri" w:hAnsi="Times New Roman"/>
          <w:color w:val="000000"/>
        </w:rPr>
        <w:t>, including baseline financial metrics (income, expense</w:t>
      </w:r>
      <w:r w:rsidR="00AA7558">
        <w:rPr>
          <w:rFonts w:ascii="Times New Roman" w:eastAsia="Calibri" w:hAnsi="Times New Roman"/>
          <w:color w:val="000000"/>
        </w:rPr>
        <w:t>, net revenue</w:t>
      </w:r>
      <w:r>
        <w:rPr>
          <w:rFonts w:ascii="Times New Roman" w:eastAsia="Calibri" w:hAnsi="Times New Roman"/>
          <w:color w:val="000000"/>
        </w:rPr>
        <w:t>)</w:t>
      </w:r>
    </w:p>
    <w:p w14:paraId="3CD0DCDE" w14:textId="7FAAE259" w:rsidR="00B77136" w:rsidRDefault="00B77136" w:rsidP="00B77136">
      <w:pPr>
        <w:pStyle w:val="ListParagraph"/>
        <w:numPr>
          <w:ilvl w:val="0"/>
          <w:numId w:val="6"/>
        </w:numPr>
        <w:autoSpaceDE w:val="0"/>
        <w:autoSpaceDN w:val="0"/>
        <w:adjustRightInd w:val="0"/>
        <w:rPr>
          <w:rFonts w:ascii="Times New Roman" w:eastAsia="Calibri" w:hAnsi="Times New Roman"/>
          <w:color w:val="000000"/>
        </w:rPr>
      </w:pPr>
      <w:r>
        <w:rPr>
          <w:rFonts w:ascii="Times New Roman" w:eastAsia="Calibri" w:hAnsi="Times New Roman"/>
          <w:color w:val="000000"/>
        </w:rPr>
        <w:t>Description of the proposed solution, including target financial metrics (income, expense</w:t>
      </w:r>
      <w:r w:rsidR="00AA7558">
        <w:rPr>
          <w:rFonts w:ascii="Times New Roman" w:eastAsia="Calibri" w:hAnsi="Times New Roman"/>
          <w:color w:val="000000"/>
        </w:rPr>
        <w:t>, net revenue</w:t>
      </w:r>
      <w:r>
        <w:rPr>
          <w:rFonts w:ascii="Times New Roman" w:eastAsia="Calibri" w:hAnsi="Times New Roman"/>
          <w:color w:val="000000"/>
        </w:rPr>
        <w:t>)</w:t>
      </w:r>
    </w:p>
    <w:p w14:paraId="33B5F476" w14:textId="55E6CBE7" w:rsidR="00B77136" w:rsidRDefault="00B77136" w:rsidP="00B77136">
      <w:pPr>
        <w:pStyle w:val="ListParagraph"/>
        <w:numPr>
          <w:ilvl w:val="0"/>
          <w:numId w:val="6"/>
        </w:numPr>
        <w:autoSpaceDE w:val="0"/>
        <w:autoSpaceDN w:val="0"/>
        <w:adjustRightInd w:val="0"/>
        <w:rPr>
          <w:rFonts w:ascii="Times New Roman" w:eastAsia="Calibri" w:hAnsi="Times New Roman"/>
          <w:color w:val="000000"/>
        </w:rPr>
      </w:pPr>
      <w:r>
        <w:rPr>
          <w:rFonts w:ascii="Times New Roman" w:eastAsia="Calibri" w:hAnsi="Times New Roman"/>
          <w:color w:val="000000"/>
        </w:rPr>
        <w:t>Description of the specific actions taken to achieve the program/project goals</w:t>
      </w:r>
      <w:r w:rsidR="00AA7558">
        <w:rPr>
          <w:rFonts w:ascii="Times New Roman" w:eastAsia="Calibri" w:hAnsi="Times New Roman"/>
          <w:color w:val="000000"/>
        </w:rPr>
        <w:t>.</w:t>
      </w:r>
    </w:p>
    <w:p w14:paraId="6670151A" w14:textId="21D0A5C0" w:rsidR="00B77136" w:rsidRDefault="00B77136" w:rsidP="00B77136">
      <w:pPr>
        <w:pStyle w:val="ListParagraph"/>
        <w:numPr>
          <w:ilvl w:val="0"/>
          <w:numId w:val="6"/>
        </w:numPr>
        <w:autoSpaceDE w:val="0"/>
        <w:autoSpaceDN w:val="0"/>
        <w:adjustRightInd w:val="0"/>
        <w:rPr>
          <w:rFonts w:ascii="Times New Roman" w:eastAsia="Calibri" w:hAnsi="Times New Roman"/>
          <w:color w:val="000000"/>
        </w:rPr>
      </w:pPr>
      <w:r>
        <w:rPr>
          <w:rFonts w:ascii="Times New Roman" w:eastAsia="Calibri" w:hAnsi="Times New Roman"/>
          <w:color w:val="000000"/>
        </w:rPr>
        <w:t>Description of who led the improvement effort and which departments and staff participated in the effort</w:t>
      </w:r>
      <w:r w:rsidR="00AA7558">
        <w:rPr>
          <w:rFonts w:ascii="Times New Roman" w:eastAsia="Calibri" w:hAnsi="Times New Roman"/>
          <w:color w:val="000000"/>
        </w:rPr>
        <w:t>.</w:t>
      </w:r>
    </w:p>
    <w:p w14:paraId="74E67629" w14:textId="5C737F48" w:rsidR="00B77136" w:rsidRDefault="00B77136" w:rsidP="00B77136">
      <w:pPr>
        <w:pStyle w:val="ListParagraph"/>
        <w:numPr>
          <w:ilvl w:val="0"/>
          <w:numId w:val="6"/>
        </w:numPr>
        <w:autoSpaceDE w:val="0"/>
        <w:autoSpaceDN w:val="0"/>
        <w:adjustRightInd w:val="0"/>
        <w:rPr>
          <w:rFonts w:ascii="Times New Roman" w:eastAsia="Calibri" w:hAnsi="Times New Roman"/>
          <w:color w:val="000000"/>
        </w:rPr>
      </w:pPr>
      <w:r>
        <w:rPr>
          <w:rFonts w:ascii="Times New Roman" w:eastAsia="Calibri" w:hAnsi="Times New Roman"/>
          <w:color w:val="000000"/>
        </w:rPr>
        <w:t>Description of the obstacles encountered during the program/project and how these obstacles were overcome</w:t>
      </w:r>
      <w:r w:rsidR="00AA7558">
        <w:rPr>
          <w:rFonts w:ascii="Times New Roman" w:eastAsia="Calibri" w:hAnsi="Times New Roman"/>
          <w:color w:val="000000"/>
        </w:rPr>
        <w:t>.</w:t>
      </w:r>
    </w:p>
    <w:p w14:paraId="484FFC6E" w14:textId="0136791B" w:rsidR="00B77136" w:rsidRDefault="00B77136" w:rsidP="00B77136">
      <w:pPr>
        <w:pStyle w:val="ListParagraph"/>
        <w:numPr>
          <w:ilvl w:val="0"/>
          <w:numId w:val="6"/>
        </w:numPr>
        <w:autoSpaceDE w:val="0"/>
        <w:autoSpaceDN w:val="0"/>
        <w:adjustRightInd w:val="0"/>
        <w:rPr>
          <w:rFonts w:ascii="Times New Roman" w:eastAsia="Calibri" w:hAnsi="Times New Roman"/>
          <w:color w:val="000000"/>
        </w:rPr>
      </w:pPr>
      <w:r>
        <w:rPr>
          <w:rFonts w:ascii="Times New Roman" w:eastAsia="Calibri" w:hAnsi="Times New Roman"/>
          <w:color w:val="000000"/>
        </w:rPr>
        <w:t>Description of the results of the program/project, including success in achieving the target financial metrics (income</w:t>
      </w:r>
      <w:r w:rsidR="00AA7558">
        <w:rPr>
          <w:rFonts w:ascii="Times New Roman" w:eastAsia="Calibri" w:hAnsi="Times New Roman"/>
          <w:color w:val="000000"/>
        </w:rPr>
        <w:t>,</w:t>
      </w:r>
      <w:r>
        <w:rPr>
          <w:rFonts w:ascii="Times New Roman" w:eastAsia="Calibri" w:hAnsi="Times New Roman"/>
          <w:color w:val="000000"/>
        </w:rPr>
        <w:t xml:space="preserve"> expense</w:t>
      </w:r>
      <w:r w:rsidR="00AA7558">
        <w:rPr>
          <w:rFonts w:ascii="Times New Roman" w:eastAsia="Calibri" w:hAnsi="Times New Roman"/>
          <w:color w:val="000000"/>
        </w:rPr>
        <w:t>, net revenue</w:t>
      </w:r>
      <w:r>
        <w:rPr>
          <w:rFonts w:ascii="Times New Roman" w:eastAsia="Calibri" w:hAnsi="Times New Roman"/>
          <w:color w:val="000000"/>
        </w:rPr>
        <w:t>) and how well this success has been sustained.</w:t>
      </w:r>
    </w:p>
    <w:p w14:paraId="3F93D36A" w14:textId="167D10CF" w:rsidR="00B77136" w:rsidRDefault="00B77136" w:rsidP="00B77136">
      <w:pPr>
        <w:pStyle w:val="ListParagraph"/>
        <w:numPr>
          <w:ilvl w:val="0"/>
          <w:numId w:val="6"/>
        </w:numPr>
        <w:autoSpaceDE w:val="0"/>
        <w:autoSpaceDN w:val="0"/>
        <w:adjustRightInd w:val="0"/>
        <w:rPr>
          <w:rFonts w:ascii="Times New Roman" w:eastAsia="Calibri" w:hAnsi="Times New Roman"/>
          <w:color w:val="000000"/>
        </w:rPr>
      </w:pPr>
      <w:r>
        <w:rPr>
          <w:rFonts w:ascii="Times New Roman" w:eastAsia="Calibri" w:hAnsi="Times New Roman"/>
          <w:color w:val="000000"/>
        </w:rPr>
        <w:t xml:space="preserve">Summary of what the participants learned </w:t>
      </w:r>
      <w:r w:rsidR="00AA7558">
        <w:rPr>
          <w:rFonts w:ascii="Times New Roman" w:eastAsia="Calibri" w:hAnsi="Times New Roman"/>
          <w:color w:val="000000"/>
        </w:rPr>
        <w:t>because of</w:t>
      </w:r>
      <w:r>
        <w:rPr>
          <w:rFonts w:ascii="Times New Roman" w:eastAsia="Calibri" w:hAnsi="Times New Roman"/>
          <w:color w:val="000000"/>
        </w:rPr>
        <w:t xml:space="preserve"> the successful program/project and the lessons that can be applied to future financial improvement activities</w:t>
      </w:r>
      <w:r w:rsidR="00AA7558">
        <w:rPr>
          <w:rFonts w:ascii="Times New Roman" w:eastAsia="Calibri" w:hAnsi="Times New Roman"/>
          <w:color w:val="000000"/>
        </w:rPr>
        <w:t>.</w:t>
      </w:r>
    </w:p>
    <w:p w14:paraId="25225FFA" w14:textId="77777777" w:rsidR="00B77136" w:rsidRPr="001D5495" w:rsidRDefault="00B77136" w:rsidP="00B77136">
      <w:pPr>
        <w:autoSpaceDE w:val="0"/>
        <w:autoSpaceDN w:val="0"/>
        <w:adjustRightInd w:val="0"/>
        <w:rPr>
          <w:rFonts w:eastAsia="Calibri"/>
        </w:rPr>
      </w:pPr>
    </w:p>
    <w:p w14:paraId="32C8C4D3" w14:textId="6AFA2B17" w:rsidR="00B77136" w:rsidRDefault="00B77136" w:rsidP="00B77136">
      <w:pPr>
        <w:autoSpaceDE w:val="0"/>
        <w:autoSpaceDN w:val="0"/>
        <w:adjustRightInd w:val="0"/>
        <w:rPr>
          <w:rFonts w:eastAsia="Calibri"/>
        </w:rPr>
      </w:pPr>
      <w:r w:rsidRPr="001D5495">
        <w:rPr>
          <w:rFonts w:eastAsia="Calibri"/>
          <w:b/>
        </w:rPr>
        <w:t xml:space="preserve">The </w:t>
      </w:r>
      <w:r>
        <w:rPr>
          <w:rFonts w:eastAsia="Calibri"/>
          <w:b/>
        </w:rPr>
        <w:t>Case Study</w:t>
      </w:r>
      <w:r w:rsidRPr="001D5495">
        <w:rPr>
          <w:rFonts w:eastAsia="Calibri"/>
        </w:rPr>
        <w:t xml:space="preserve"> should not exceed </w:t>
      </w:r>
      <w:r>
        <w:rPr>
          <w:rFonts w:eastAsia="Calibri"/>
        </w:rPr>
        <w:t>ten pages</w:t>
      </w:r>
      <w:r w:rsidRPr="001D5495">
        <w:rPr>
          <w:rFonts w:eastAsia="Calibri"/>
        </w:rPr>
        <w:t>, double-sp</w:t>
      </w:r>
      <w:r>
        <w:rPr>
          <w:rFonts w:eastAsia="Calibri"/>
        </w:rPr>
        <w:t>aced, 12-point font</w:t>
      </w:r>
      <w:r w:rsidRPr="001D5495">
        <w:rPr>
          <w:rFonts w:eastAsia="Calibri"/>
        </w:rPr>
        <w:t>. You must include a reference list</w:t>
      </w:r>
      <w:r>
        <w:rPr>
          <w:rFonts w:eastAsia="Calibri"/>
        </w:rPr>
        <w:t>, including the titles of staff interviewed</w:t>
      </w:r>
      <w:r w:rsidRPr="001D5495">
        <w:rPr>
          <w:rFonts w:eastAsia="Calibri"/>
        </w:rPr>
        <w:t xml:space="preserve">. </w:t>
      </w:r>
      <w:r w:rsidR="000F108E">
        <w:rPr>
          <w:rFonts w:eastAsia="Calibri"/>
        </w:rPr>
        <w:t xml:space="preserve">Teams will present their case studies during class 6. Team presentations should be limited to 15 minutes and highlight the key elements of the case study. </w:t>
      </w:r>
      <w:r w:rsidR="0022687A">
        <w:rPr>
          <w:rFonts w:eastAsia="Calibri"/>
        </w:rPr>
        <w:t xml:space="preserve">The </w:t>
      </w:r>
      <w:r w:rsidR="00676F04">
        <w:rPr>
          <w:rFonts w:eastAsia="Calibri"/>
        </w:rPr>
        <w:t xml:space="preserve">written </w:t>
      </w:r>
      <w:r w:rsidR="0022687A">
        <w:rPr>
          <w:rFonts w:eastAsia="Calibri"/>
        </w:rPr>
        <w:t xml:space="preserve">case study </w:t>
      </w:r>
      <w:r w:rsidR="000F108E">
        <w:rPr>
          <w:rFonts w:eastAsia="Calibri"/>
        </w:rPr>
        <w:t xml:space="preserve">and team presentation </w:t>
      </w:r>
      <w:r w:rsidR="0022687A" w:rsidRPr="0022687A">
        <w:rPr>
          <w:rFonts w:eastAsia="Calibri"/>
        </w:rPr>
        <w:t xml:space="preserve">should be submitted through the Brightspace course site </w:t>
      </w:r>
      <w:r w:rsidR="0022687A">
        <w:rPr>
          <w:rFonts w:eastAsia="Calibri"/>
        </w:rPr>
        <w:t xml:space="preserve">prior to class </w:t>
      </w:r>
      <w:r w:rsidR="000F108E">
        <w:rPr>
          <w:rFonts w:eastAsia="Calibri"/>
        </w:rPr>
        <w:t>6</w:t>
      </w:r>
      <w:r w:rsidR="0022687A">
        <w:rPr>
          <w:rFonts w:eastAsia="Calibri"/>
        </w:rPr>
        <w:t>.</w:t>
      </w:r>
    </w:p>
    <w:p w14:paraId="5B33A5AC" w14:textId="77777777" w:rsidR="00B77136" w:rsidRDefault="00B77136" w:rsidP="00B77136">
      <w:pPr>
        <w:autoSpaceDE w:val="0"/>
        <w:autoSpaceDN w:val="0"/>
        <w:adjustRightInd w:val="0"/>
        <w:rPr>
          <w:rFonts w:eastAsia="Calibri"/>
        </w:rPr>
      </w:pPr>
    </w:p>
    <w:p w14:paraId="67679B36" w14:textId="08C70B5F" w:rsidR="00B77136" w:rsidRPr="001D5495" w:rsidRDefault="00B77136" w:rsidP="00B77136">
      <w:pPr>
        <w:autoSpaceDE w:val="0"/>
        <w:autoSpaceDN w:val="0"/>
        <w:adjustRightInd w:val="0"/>
        <w:rPr>
          <w:rFonts w:eastAsia="Calibri"/>
        </w:rPr>
      </w:pPr>
      <w:r w:rsidRPr="001D5495">
        <w:rPr>
          <w:rFonts w:eastAsia="Calibri"/>
          <w:b/>
          <w:i/>
        </w:rPr>
        <w:t>Required Preliminary Proposal</w:t>
      </w:r>
      <w:r w:rsidRPr="001D5495">
        <w:rPr>
          <w:rFonts w:eastAsia="Calibri"/>
        </w:rPr>
        <w:t xml:space="preserve">– </w:t>
      </w:r>
      <w:r>
        <w:rPr>
          <w:rFonts w:eastAsia="Calibri"/>
        </w:rPr>
        <w:t xml:space="preserve">Each team is required to </w:t>
      </w:r>
      <w:r w:rsidR="00191C47">
        <w:rPr>
          <w:rFonts w:eastAsia="Calibri"/>
        </w:rPr>
        <w:t xml:space="preserve">meet with the leadership of their selected institution by the end of the second week of class and </w:t>
      </w:r>
      <w:r>
        <w:rPr>
          <w:rFonts w:eastAsia="Calibri"/>
        </w:rPr>
        <w:t>select a</w:t>
      </w:r>
      <w:r w:rsidRPr="001D5495">
        <w:rPr>
          <w:rFonts w:eastAsia="Calibri"/>
        </w:rPr>
        <w:t xml:space="preserve"> topic for the </w:t>
      </w:r>
      <w:r>
        <w:rPr>
          <w:rFonts w:eastAsia="Calibri"/>
        </w:rPr>
        <w:t>healthcare financial improvement case study</w:t>
      </w:r>
      <w:r w:rsidRPr="001D5495">
        <w:rPr>
          <w:rFonts w:eastAsia="Calibri"/>
        </w:rPr>
        <w:t xml:space="preserve"> </w:t>
      </w:r>
      <w:r>
        <w:rPr>
          <w:rFonts w:eastAsia="Calibri"/>
        </w:rPr>
        <w:t xml:space="preserve">by </w:t>
      </w:r>
      <w:r w:rsidRPr="0022687A">
        <w:rPr>
          <w:rFonts w:eastAsia="Calibri"/>
          <w:bCs/>
        </w:rPr>
        <w:t>class 3</w:t>
      </w:r>
      <w:r w:rsidRPr="001D5495">
        <w:rPr>
          <w:rFonts w:eastAsia="Calibri"/>
        </w:rPr>
        <w:t xml:space="preserve">. A list of suggested </w:t>
      </w:r>
      <w:r>
        <w:rPr>
          <w:rFonts w:eastAsia="Calibri"/>
        </w:rPr>
        <w:t xml:space="preserve">general </w:t>
      </w:r>
      <w:r w:rsidRPr="001D5495">
        <w:rPr>
          <w:rFonts w:eastAsia="Calibri"/>
        </w:rPr>
        <w:t xml:space="preserve">topics </w:t>
      </w:r>
      <w:r>
        <w:rPr>
          <w:rFonts w:eastAsia="Calibri"/>
        </w:rPr>
        <w:t>follows:</w:t>
      </w:r>
    </w:p>
    <w:p w14:paraId="0CBA5DC2" w14:textId="77777777" w:rsidR="00B77136" w:rsidRPr="001D5495" w:rsidRDefault="00B77136" w:rsidP="00B77136">
      <w:pPr>
        <w:rPr>
          <w:rFonts w:eastAsia="Calibri"/>
        </w:rPr>
      </w:pPr>
    </w:p>
    <w:p w14:paraId="64AB879B" w14:textId="77777777" w:rsidR="00B77136" w:rsidRDefault="00B77136" w:rsidP="00B77136">
      <w:pPr>
        <w:numPr>
          <w:ilvl w:val="0"/>
          <w:numId w:val="5"/>
        </w:numPr>
        <w:spacing w:after="120" w:line="240" w:lineRule="auto"/>
        <w:ind w:left="360"/>
        <w:contextualSpacing/>
        <w:rPr>
          <w:rFonts w:eastAsia="Calibri"/>
        </w:rPr>
      </w:pPr>
      <w:r>
        <w:rPr>
          <w:rFonts w:eastAsia="Calibri"/>
        </w:rPr>
        <w:t>New health care program/service or redesign of an existing health care program/service to reduce costs and/or enhance income.</w:t>
      </w:r>
    </w:p>
    <w:p w14:paraId="237E44FD" w14:textId="77777777" w:rsidR="00B77136" w:rsidRDefault="00B77136" w:rsidP="00B77136">
      <w:pPr>
        <w:numPr>
          <w:ilvl w:val="0"/>
          <w:numId w:val="5"/>
        </w:numPr>
        <w:spacing w:after="120" w:line="240" w:lineRule="auto"/>
        <w:ind w:left="360"/>
        <w:contextualSpacing/>
        <w:rPr>
          <w:rFonts w:eastAsia="Calibri"/>
        </w:rPr>
      </w:pPr>
      <w:r>
        <w:rPr>
          <w:rFonts w:eastAsia="Calibri"/>
        </w:rPr>
        <w:t>Redesign or improvement of a business process, e.g., inventory management or revenue cycle management, to reduce costs and/or enhance income.</w:t>
      </w:r>
    </w:p>
    <w:p w14:paraId="3E29652B" w14:textId="77777777" w:rsidR="00B77136" w:rsidRPr="006964D9" w:rsidRDefault="00B77136" w:rsidP="00B77136">
      <w:pPr>
        <w:numPr>
          <w:ilvl w:val="0"/>
          <w:numId w:val="5"/>
        </w:numPr>
        <w:spacing w:after="120" w:line="240" w:lineRule="auto"/>
        <w:ind w:left="360"/>
        <w:contextualSpacing/>
        <w:rPr>
          <w:rFonts w:eastAsia="Calibri"/>
        </w:rPr>
      </w:pPr>
      <w:r w:rsidRPr="006964D9">
        <w:rPr>
          <w:rFonts w:eastAsia="Calibri"/>
        </w:rPr>
        <w:t xml:space="preserve">Change in staffing, scheduling to reduce personal services expense or </w:t>
      </w:r>
      <w:r>
        <w:rPr>
          <w:rFonts w:eastAsia="Calibri"/>
        </w:rPr>
        <w:t>c</w:t>
      </w:r>
      <w:r w:rsidRPr="006964D9">
        <w:rPr>
          <w:rFonts w:eastAsia="Calibri"/>
        </w:rPr>
        <w:t>hange in purchasing o</w:t>
      </w:r>
      <w:r>
        <w:rPr>
          <w:rFonts w:eastAsia="Calibri"/>
        </w:rPr>
        <w:t>r materials management process</w:t>
      </w:r>
      <w:r w:rsidRPr="006964D9">
        <w:rPr>
          <w:rFonts w:eastAsia="Calibri"/>
        </w:rPr>
        <w:t xml:space="preserve"> to reduce OTPS expense</w:t>
      </w:r>
      <w:r>
        <w:rPr>
          <w:rFonts w:eastAsia="Calibri"/>
        </w:rPr>
        <w:t>.</w:t>
      </w:r>
    </w:p>
    <w:p w14:paraId="551AF27E" w14:textId="045068EE" w:rsidR="00B77136" w:rsidRDefault="00B77136" w:rsidP="00B77136">
      <w:pPr>
        <w:numPr>
          <w:ilvl w:val="0"/>
          <w:numId w:val="5"/>
        </w:numPr>
        <w:spacing w:after="120" w:line="240" w:lineRule="auto"/>
        <w:ind w:left="360"/>
        <w:contextualSpacing/>
        <w:rPr>
          <w:rFonts w:eastAsia="Calibri"/>
        </w:rPr>
      </w:pPr>
      <w:r>
        <w:rPr>
          <w:rFonts w:eastAsia="Calibri"/>
        </w:rPr>
        <w:t>Capital project resulting in reduction in operating expenses and/or enhanced income.</w:t>
      </w:r>
    </w:p>
    <w:p w14:paraId="05D5BDBE" w14:textId="716435FC" w:rsidR="00B77136" w:rsidRDefault="00B77136" w:rsidP="00B77136">
      <w:pPr>
        <w:numPr>
          <w:ilvl w:val="0"/>
          <w:numId w:val="5"/>
        </w:numPr>
        <w:spacing w:after="120" w:line="240" w:lineRule="auto"/>
        <w:ind w:left="360"/>
        <w:contextualSpacing/>
        <w:rPr>
          <w:rFonts w:eastAsia="Calibri"/>
        </w:rPr>
      </w:pPr>
      <w:r w:rsidRPr="00BA11F6">
        <w:rPr>
          <w:rFonts w:eastAsia="Calibri"/>
        </w:rPr>
        <w:t>Insourcing or outsourcing a program, service or function to reduce costs and/or enhance income.</w:t>
      </w:r>
    </w:p>
    <w:p w14:paraId="73DCE010" w14:textId="25D44FDE" w:rsidR="00B77136" w:rsidRPr="00BA11F6" w:rsidRDefault="00B77136" w:rsidP="00B77136">
      <w:pPr>
        <w:numPr>
          <w:ilvl w:val="0"/>
          <w:numId w:val="5"/>
        </w:numPr>
        <w:spacing w:after="120" w:line="240" w:lineRule="auto"/>
        <w:ind w:left="360"/>
        <w:contextualSpacing/>
        <w:rPr>
          <w:rFonts w:eastAsia="Calibri"/>
        </w:rPr>
      </w:pPr>
      <w:r>
        <w:rPr>
          <w:rFonts w:eastAsia="Calibri"/>
        </w:rPr>
        <w:t>Imp</w:t>
      </w:r>
      <w:r w:rsidRPr="00BA11F6">
        <w:rPr>
          <w:rFonts w:eastAsia="Calibri"/>
        </w:rPr>
        <w:t xml:space="preserve">lementation or enhancement of information technology to reduce costs and/or </w:t>
      </w:r>
      <w:r w:rsidR="00AA7558" w:rsidRPr="00BA11F6">
        <w:rPr>
          <w:rFonts w:eastAsia="Calibri"/>
        </w:rPr>
        <w:t xml:space="preserve">enhance </w:t>
      </w:r>
      <w:r w:rsidR="00AA7558">
        <w:rPr>
          <w:rFonts w:eastAsia="Calibri"/>
        </w:rPr>
        <w:t>income</w:t>
      </w:r>
      <w:r w:rsidRPr="00BA11F6">
        <w:rPr>
          <w:rFonts w:eastAsia="Calibri"/>
        </w:rPr>
        <w:t>.</w:t>
      </w:r>
    </w:p>
    <w:p w14:paraId="5F200108" w14:textId="6A5999DD" w:rsidR="00B77136" w:rsidRPr="009A6980" w:rsidRDefault="00B77136" w:rsidP="009A6980">
      <w:pPr>
        <w:numPr>
          <w:ilvl w:val="0"/>
          <w:numId w:val="5"/>
        </w:numPr>
        <w:spacing w:after="120" w:line="240" w:lineRule="auto"/>
        <w:ind w:left="360"/>
        <w:contextualSpacing/>
        <w:rPr>
          <w:rFonts w:eastAsia="Calibri"/>
        </w:rPr>
      </w:pPr>
      <w:r>
        <w:rPr>
          <w:rFonts w:eastAsia="Calibri"/>
        </w:rPr>
        <w:t>Program or project designed to improve financial performance under a value-based payment contract by improving clinical performance, e.g., reducing avoidable admissions, reducing avoidable readmissions, reducing ALOS, reducing Emergency Department visits.</w:t>
      </w:r>
    </w:p>
    <w:p w14:paraId="69D473A2" w14:textId="77777777" w:rsidR="00B77136" w:rsidRDefault="00B77136" w:rsidP="00B77136">
      <w:pPr>
        <w:spacing w:after="120"/>
        <w:contextualSpacing/>
        <w:rPr>
          <w:rFonts w:eastAsia="Calibri"/>
        </w:rPr>
      </w:pPr>
    </w:p>
    <w:p w14:paraId="166504FE" w14:textId="77777777" w:rsidR="00B77136" w:rsidRDefault="00B77136" w:rsidP="00B77136">
      <w:pPr>
        <w:spacing w:after="120"/>
        <w:contextualSpacing/>
        <w:rPr>
          <w:rFonts w:eastAsia="Calibri"/>
        </w:rPr>
      </w:pPr>
      <w:r>
        <w:rPr>
          <w:rFonts w:eastAsia="Calibri"/>
        </w:rPr>
        <w:t>Please include the following table in your case study to summarize the revenue and expense data for your program or project:</w:t>
      </w:r>
    </w:p>
    <w:p w14:paraId="3C7D3068" w14:textId="77777777" w:rsidR="00B77136" w:rsidRDefault="00B77136" w:rsidP="00B77136">
      <w:pPr>
        <w:spacing w:after="120"/>
        <w:ind w:left="360"/>
        <w:contextualSpacing/>
        <w:rPr>
          <w:rFonts w:eastAsia="Calibri"/>
        </w:rPr>
      </w:pPr>
    </w:p>
    <w:tbl>
      <w:tblPr>
        <w:tblStyle w:val="TableGrid0"/>
        <w:tblW w:w="5850" w:type="dxa"/>
        <w:tblInd w:w="1795" w:type="dxa"/>
        <w:tblLook w:val="04A0" w:firstRow="1" w:lastRow="0" w:firstColumn="1" w:lastColumn="0" w:noHBand="0" w:noVBand="1"/>
      </w:tblPr>
      <w:tblGrid>
        <w:gridCol w:w="3090"/>
        <w:gridCol w:w="2760"/>
      </w:tblGrid>
      <w:tr w:rsidR="00C46937" w14:paraId="5869CDB1" w14:textId="77777777" w:rsidTr="00C46937">
        <w:tc>
          <w:tcPr>
            <w:tcW w:w="3090" w:type="dxa"/>
          </w:tcPr>
          <w:p w14:paraId="29B6DF19" w14:textId="77777777" w:rsidR="00C46937" w:rsidRDefault="00C46937" w:rsidP="002803D1">
            <w:pPr>
              <w:spacing w:after="120"/>
              <w:contextualSpacing/>
              <w:rPr>
                <w:rFonts w:eastAsia="Calibri"/>
              </w:rPr>
            </w:pPr>
          </w:p>
        </w:tc>
        <w:tc>
          <w:tcPr>
            <w:tcW w:w="2760" w:type="dxa"/>
          </w:tcPr>
          <w:p w14:paraId="095BB6F0" w14:textId="77777777" w:rsidR="00B03473" w:rsidRDefault="00C46937" w:rsidP="00B03473">
            <w:pPr>
              <w:spacing w:after="120"/>
              <w:contextualSpacing/>
              <w:rPr>
                <w:rFonts w:eastAsia="Calibri"/>
              </w:rPr>
            </w:pPr>
            <w:r>
              <w:rPr>
                <w:rFonts w:eastAsia="Calibri"/>
              </w:rPr>
              <w:t>Full Year</w:t>
            </w:r>
            <w:r w:rsidR="00B03473">
              <w:rPr>
                <w:rFonts w:eastAsia="Calibri"/>
              </w:rPr>
              <w:t xml:space="preserve"> </w:t>
            </w:r>
          </w:p>
          <w:p w14:paraId="08369E7C" w14:textId="1E85C37F" w:rsidR="00C46937" w:rsidRDefault="00C46937" w:rsidP="00B03473">
            <w:pPr>
              <w:spacing w:after="120"/>
              <w:contextualSpacing/>
              <w:rPr>
                <w:rFonts w:eastAsia="Calibri"/>
              </w:rPr>
            </w:pPr>
            <w:r>
              <w:rPr>
                <w:rFonts w:eastAsia="Calibri"/>
              </w:rPr>
              <w:t>Financial Impact</w:t>
            </w:r>
          </w:p>
        </w:tc>
      </w:tr>
      <w:tr w:rsidR="00C46937" w14:paraId="1F84E294" w14:textId="77777777" w:rsidTr="00C46937">
        <w:tc>
          <w:tcPr>
            <w:tcW w:w="3090" w:type="dxa"/>
          </w:tcPr>
          <w:p w14:paraId="6E04DBFC" w14:textId="77777777" w:rsidR="00C46937" w:rsidRDefault="00C46937" w:rsidP="002803D1">
            <w:pPr>
              <w:spacing w:after="120"/>
              <w:contextualSpacing/>
              <w:rPr>
                <w:rFonts w:eastAsia="Calibri"/>
              </w:rPr>
            </w:pPr>
            <w:r>
              <w:rPr>
                <w:rFonts w:eastAsia="Calibri"/>
              </w:rPr>
              <w:t>Revenue</w:t>
            </w:r>
          </w:p>
        </w:tc>
        <w:tc>
          <w:tcPr>
            <w:tcW w:w="2760" w:type="dxa"/>
          </w:tcPr>
          <w:p w14:paraId="604255FC" w14:textId="38DF9D70" w:rsidR="00C46937" w:rsidRDefault="00B03473" w:rsidP="002803D1">
            <w:pPr>
              <w:spacing w:after="120"/>
              <w:contextualSpacing/>
              <w:rPr>
                <w:rFonts w:eastAsia="Calibri"/>
              </w:rPr>
            </w:pPr>
            <w:r>
              <w:rPr>
                <w:rFonts w:eastAsia="Calibri"/>
              </w:rPr>
              <w:t>increase or (decrease)</w:t>
            </w:r>
          </w:p>
        </w:tc>
      </w:tr>
      <w:tr w:rsidR="00C46937" w14:paraId="5199D861" w14:textId="77777777" w:rsidTr="00C46937">
        <w:tc>
          <w:tcPr>
            <w:tcW w:w="3090" w:type="dxa"/>
          </w:tcPr>
          <w:p w14:paraId="47F50E33" w14:textId="77777777" w:rsidR="00C46937" w:rsidRDefault="00C46937" w:rsidP="002803D1">
            <w:pPr>
              <w:spacing w:after="120"/>
              <w:contextualSpacing/>
              <w:rPr>
                <w:rFonts w:eastAsia="Calibri"/>
              </w:rPr>
            </w:pPr>
            <w:r>
              <w:rPr>
                <w:rFonts w:eastAsia="Calibri"/>
              </w:rPr>
              <w:t xml:space="preserve">  Third Party</w:t>
            </w:r>
          </w:p>
        </w:tc>
        <w:tc>
          <w:tcPr>
            <w:tcW w:w="2760" w:type="dxa"/>
          </w:tcPr>
          <w:p w14:paraId="57833CE4" w14:textId="77777777" w:rsidR="00C46937" w:rsidRDefault="00C46937" w:rsidP="002803D1">
            <w:pPr>
              <w:spacing w:after="120"/>
              <w:contextualSpacing/>
              <w:rPr>
                <w:rFonts w:eastAsia="Calibri"/>
              </w:rPr>
            </w:pPr>
          </w:p>
        </w:tc>
      </w:tr>
      <w:tr w:rsidR="00C46937" w14:paraId="2FF798F6" w14:textId="77777777" w:rsidTr="00C46937">
        <w:tc>
          <w:tcPr>
            <w:tcW w:w="3090" w:type="dxa"/>
          </w:tcPr>
          <w:p w14:paraId="160ED131" w14:textId="77777777" w:rsidR="00C46937" w:rsidRDefault="00C46937" w:rsidP="002803D1">
            <w:pPr>
              <w:spacing w:after="120"/>
              <w:contextualSpacing/>
              <w:rPr>
                <w:rFonts w:eastAsia="Calibri"/>
              </w:rPr>
            </w:pPr>
            <w:r>
              <w:rPr>
                <w:rFonts w:eastAsia="Calibri"/>
              </w:rPr>
              <w:t xml:space="preserve">  Other </w:t>
            </w:r>
          </w:p>
        </w:tc>
        <w:tc>
          <w:tcPr>
            <w:tcW w:w="2760" w:type="dxa"/>
          </w:tcPr>
          <w:p w14:paraId="1AD9BA03" w14:textId="77777777" w:rsidR="00C46937" w:rsidRDefault="00C46937" w:rsidP="002803D1">
            <w:pPr>
              <w:spacing w:after="120"/>
              <w:contextualSpacing/>
              <w:rPr>
                <w:rFonts w:eastAsia="Calibri"/>
              </w:rPr>
            </w:pPr>
          </w:p>
        </w:tc>
      </w:tr>
      <w:tr w:rsidR="00C46937" w14:paraId="45B30F54" w14:textId="77777777" w:rsidTr="00C46937">
        <w:tc>
          <w:tcPr>
            <w:tcW w:w="3090" w:type="dxa"/>
          </w:tcPr>
          <w:p w14:paraId="48B3E7F0" w14:textId="77777777" w:rsidR="00C46937" w:rsidRDefault="00C46937" w:rsidP="002803D1">
            <w:pPr>
              <w:spacing w:after="120"/>
              <w:contextualSpacing/>
              <w:rPr>
                <w:rFonts w:eastAsia="Calibri"/>
              </w:rPr>
            </w:pPr>
            <w:r>
              <w:rPr>
                <w:rFonts w:eastAsia="Calibri"/>
              </w:rPr>
              <w:t>Total Revenue</w:t>
            </w:r>
          </w:p>
        </w:tc>
        <w:tc>
          <w:tcPr>
            <w:tcW w:w="2760" w:type="dxa"/>
          </w:tcPr>
          <w:p w14:paraId="7B925F17" w14:textId="77777777" w:rsidR="00C46937" w:rsidRDefault="00C46937" w:rsidP="002803D1">
            <w:pPr>
              <w:spacing w:after="120"/>
              <w:contextualSpacing/>
              <w:rPr>
                <w:rFonts w:eastAsia="Calibri"/>
              </w:rPr>
            </w:pPr>
          </w:p>
        </w:tc>
      </w:tr>
      <w:tr w:rsidR="00C46937" w14:paraId="15E825B0" w14:textId="77777777" w:rsidTr="00C46937">
        <w:tc>
          <w:tcPr>
            <w:tcW w:w="3090" w:type="dxa"/>
          </w:tcPr>
          <w:p w14:paraId="4B51891F" w14:textId="77777777" w:rsidR="00C46937" w:rsidRDefault="00C46937" w:rsidP="002803D1">
            <w:pPr>
              <w:spacing w:after="120"/>
              <w:contextualSpacing/>
              <w:rPr>
                <w:rFonts w:eastAsia="Calibri"/>
              </w:rPr>
            </w:pPr>
          </w:p>
        </w:tc>
        <w:tc>
          <w:tcPr>
            <w:tcW w:w="2760" w:type="dxa"/>
          </w:tcPr>
          <w:p w14:paraId="12064740" w14:textId="77777777" w:rsidR="00C46937" w:rsidRDefault="00C46937" w:rsidP="002803D1">
            <w:pPr>
              <w:spacing w:after="120"/>
              <w:contextualSpacing/>
              <w:rPr>
                <w:rFonts w:eastAsia="Calibri"/>
              </w:rPr>
            </w:pPr>
          </w:p>
        </w:tc>
      </w:tr>
      <w:tr w:rsidR="00C46937" w14:paraId="702CBA5A" w14:textId="77777777" w:rsidTr="00C46937">
        <w:tc>
          <w:tcPr>
            <w:tcW w:w="3090" w:type="dxa"/>
          </w:tcPr>
          <w:p w14:paraId="015FF27F" w14:textId="77777777" w:rsidR="00C46937" w:rsidRDefault="00C46937" w:rsidP="002803D1">
            <w:pPr>
              <w:spacing w:after="120"/>
              <w:contextualSpacing/>
              <w:rPr>
                <w:rFonts w:eastAsia="Calibri"/>
              </w:rPr>
            </w:pPr>
            <w:r>
              <w:rPr>
                <w:rFonts w:eastAsia="Calibri"/>
              </w:rPr>
              <w:t>Expense</w:t>
            </w:r>
          </w:p>
        </w:tc>
        <w:tc>
          <w:tcPr>
            <w:tcW w:w="2760" w:type="dxa"/>
          </w:tcPr>
          <w:p w14:paraId="206CCC3E" w14:textId="156F25F2" w:rsidR="00C46937" w:rsidRDefault="00B03473" w:rsidP="002803D1">
            <w:pPr>
              <w:spacing w:after="120"/>
              <w:contextualSpacing/>
              <w:rPr>
                <w:rFonts w:eastAsia="Calibri"/>
              </w:rPr>
            </w:pPr>
            <w:r>
              <w:rPr>
                <w:rFonts w:eastAsia="Calibri"/>
              </w:rPr>
              <w:t>(increase) or decrease</w:t>
            </w:r>
          </w:p>
        </w:tc>
      </w:tr>
      <w:tr w:rsidR="00C46937" w14:paraId="52B17F03" w14:textId="77777777" w:rsidTr="00C46937">
        <w:tc>
          <w:tcPr>
            <w:tcW w:w="3090" w:type="dxa"/>
          </w:tcPr>
          <w:p w14:paraId="7EF612CA" w14:textId="77777777" w:rsidR="00C46937" w:rsidRDefault="00C46937" w:rsidP="002803D1">
            <w:pPr>
              <w:spacing w:after="120"/>
              <w:contextualSpacing/>
              <w:rPr>
                <w:rFonts w:eastAsia="Calibri"/>
              </w:rPr>
            </w:pPr>
            <w:r>
              <w:rPr>
                <w:rFonts w:eastAsia="Calibri"/>
              </w:rPr>
              <w:t xml:space="preserve">  PS   </w:t>
            </w:r>
          </w:p>
        </w:tc>
        <w:tc>
          <w:tcPr>
            <w:tcW w:w="2760" w:type="dxa"/>
          </w:tcPr>
          <w:p w14:paraId="2FF06FB9" w14:textId="77777777" w:rsidR="00C46937" w:rsidRDefault="00C46937" w:rsidP="002803D1">
            <w:pPr>
              <w:spacing w:after="120"/>
              <w:contextualSpacing/>
              <w:rPr>
                <w:rFonts w:eastAsia="Calibri"/>
              </w:rPr>
            </w:pPr>
          </w:p>
        </w:tc>
      </w:tr>
      <w:tr w:rsidR="00C46937" w14:paraId="59A975BB" w14:textId="77777777" w:rsidTr="00C46937">
        <w:tc>
          <w:tcPr>
            <w:tcW w:w="3090" w:type="dxa"/>
          </w:tcPr>
          <w:p w14:paraId="7E628355" w14:textId="77777777" w:rsidR="00C46937" w:rsidRDefault="00C46937" w:rsidP="002803D1">
            <w:pPr>
              <w:spacing w:after="120"/>
              <w:contextualSpacing/>
              <w:rPr>
                <w:rFonts w:eastAsia="Calibri"/>
              </w:rPr>
            </w:pPr>
            <w:r>
              <w:rPr>
                <w:rFonts w:eastAsia="Calibri"/>
              </w:rPr>
              <w:t xml:space="preserve">  OTPS</w:t>
            </w:r>
          </w:p>
        </w:tc>
        <w:tc>
          <w:tcPr>
            <w:tcW w:w="2760" w:type="dxa"/>
          </w:tcPr>
          <w:p w14:paraId="7790467F" w14:textId="77777777" w:rsidR="00C46937" w:rsidRDefault="00C46937" w:rsidP="002803D1">
            <w:pPr>
              <w:spacing w:after="120"/>
              <w:contextualSpacing/>
              <w:rPr>
                <w:rFonts w:eastAsia="Calibri"/>
              </w:rPr>
            </w:pPr>
          </w:p>
        </w:tc>
      </w:tr>
      <w:tr w:rsidR="00C46937" w14:paraId="56C576C4" w14:textId="77777777" w:rsidTr="00C46937">
        <w:tc>
          <w:tcPr>
            <w:tcW w:w="3090" w:type="dxa"/>
          </w:tcPr>
          <w:p w14:paraId="55166DF6" w14:textId="77777777" w:rsidR="00C46937" w:rsidRDefault="00C46937" w:rsidP="002803D1">
            <w:pPr>
              <w:spacing w:after="120"/>
              <w:contextualSpacing/>
              <w:rPr>
                <w:rFonts w:eastAsia="Calibri"/>
              </w:rPr>
            </w:pPr>
            <w:r>
              <w:rPr>
                <w:rFonts w:eastAsia="Calibri"/>
              </w:rPr>
              <w:t xml:space="preserve">  Debt Service</w:t>
            </w:r>
          </w:p>
        </w:tc>
        <w:tc>
          <w:tcPr>
            <w:tcW w:w="2760" w:type="dxa"/>
          </w:tcPr>
          <w:p w14:paraId="0BFB8318" w14:textId="77777777" w:rsidR="00C46937" w:rsidRDefault="00C46937" w:rsidP="002803D1">
            <w:pPr>
              <w:spacing w:after="120"/>
              <w:contextualSpacing/>
              <w:rPr>
                <w:rFonts w:eastAsia="Calibri"/>
              </w:rPr>
            </w:pPr>
          </w:p>
        </w:tc>
      </w:tr>
      <w:tr w:rsidR="00C46937" w14:paraId="2F2289AD" w14:textId="77777777" w:rsidTr="00C46937">
        <w:tc>
          <w:tcPr>
            <w:tcW w:w="3090" w:type="dxa"/>
          </w:tcPr>
          <w:p w14:paraId="706A1A1D" w14:textId="77777777" w:rsidR="00C46937" w:rsidRDefault="00C46937" w:rsidP="002803D1">
            <w:pPr>
              <w:spacing w:after="120"/>
              <w:contextualSpacing/>
              <w:rPr>
                <w:rFonts w:eastAsia="Calibri"/>
              </w:rPr>
            </w:pPr>
            <w:r>
              <w:rPr>
                <w:rFonts w:eastAsia="Calibri"/>
              </w:rPr>
              <w:t>Total Expense</w:t>
            </w:r>
          </w:p>
        </w:tc>
        <w:tc>
          <w:tcPr>
            <w:tcW w:w="2760" w:type="dxa"/>
          </w:tcPr>
          <w:p w14:paraId="7D9FB919" w14:textId="77777777" w:rsidR="00C46937" w:rsidRDefault="00C46937" w:rsidP="002803D1">
            <w:pPr>
              <w:spacing w:after="120"/>
              <w:contextualSpacing/>
              <w:rPr>
                <w:rFonts w:eastAsia="Calibri"/>
              </w:rPr>
            </w:pPr>
          </w:p>
        </w:tc>
      </w:tr>
      <w:tr w:rsidR="00C46937" w14:paraId="50B13537" w14:textId="77777777" w:rsidTr="00C46937">
        <w:tc>
          <w:tcPr>
            <w:tcW w:w="3090" w:type="dxa"/>
          </w:tcPr>
          <w:p w14:paraId="737BB36B" w14:textId="77777777" w:rsidR="00C46937" w:rsidRDefault="00C46937" w:rsidP="002803D1">
            <w:pPr>
              <w:spacing w:after="120"/>
              <w:contextualSpacing/>
              <w:rPr>
                <w:rFonts w:eastAsia="Calibri"/>
              </w:rPr>
            </w:pPr>
          </w:p>
        </w:tc>
        <w:tc>
          <w:tcPr>
            <w:tcW w:w="2760" w:type="dxa"/>
          </w:tcPr>
          <w:p w14:paraId="6B9F1338" w14:textId="77777777" w:rsidR="00C46937" w:rsidRDefault="00C46937" w:rsidP="002803D1">
            <w:pPr>
              <w:spacing w:after="120"/>
              <w:contextualSpacing/>
              <w:rPr>
                <w:rFonts w:eastAsia="Calibri"/>
              </w:rPr>
            </w:pPr>
          </w:p>
        </w:tc>
      </w:tr>
      <w:tr w:rsidR="00C46937" w14:paraId="2DEB0E4E" w14:textId="77777777" w:rsidTr="00C46937">
        <w:tc>
          <w:tcPr>
            <w:tcW w:w="3090" w:type="dxa"/>
          </w:tcPr>
          <w:p w14:paraId="5B088C5C" w14:textId="6A416C95" w:rsidR="00C46937" w:rsidRDefault="00C46937" w:rsidP="00260049">
            <w:pPr>
              <w:spacing w:after="120"/>
              <w:ind w:left="0" w:firstLine="0"/>
              <w:contextualSpacing/>
              <w:jc w:val="both"/>
              <w:rPr>
                <w:rFonts w:eastAsia="Calibri"/>
              </w:rPr>
            </w:pPr>
            <w:r>
              <w:rPr>
                <w:rFonts w:eastAsia="Calibri"/>
              </w:rPr>
              <w:t>Net Revenue</w:t>
            </w:r>
          </w:p>
        </w:tc>
        <w:tc>
          <w:tcPr>
            <w:tcW w:w="2760" w:type="dxa"/>
          </w:tcPr>
          <w:p w14:paraId="2774E314" w14:textId="39C00A7F" w:rsidR="00C46937" w:rsidRDefault="00B03473" w:rsidP="002803D1">
            <w:pPr>
              <w:spacing w:after="120"/>
              <w:contextualSpacing/>
              <w:rPr>
                <w:rFonts w:eastAsia="Calibri"/>
              </w:rPr>
            </w:pPr>
            <w:r>
              <w:rPr>
                <w:rFonts w:eastAsia="Calibri"/>
              </w:rPr>
              <w:t>increase or (decrease)</w:t>
            </w:r>
          </w:p>
        </w:tc>
      </w:tr>
      <w:tr w:rsidR="00B03473" w14:paraId="688F89FE" w14:textId="77777777" w:rsidTr="00C46937">
        <w:tc>
          <w:tcPr>
            <w:tcW w:w="3090" w:type="dxa"/>
          </w:tcPr>
          <w:p w14:paraId="6C1B58ED" w14:textId="5F81B801" w:rsidR="00B03473" w:rsidRDefault="00B03473" w:rsidP="00260049">
            <w:pPr>
              <w:spacing w:after="120"/>
              <w:ind w:left="0" w:firstLine="0"/>
              <w:contextualSpacing/>
              <w:jc w:val="both"/>
              <w:rPr>
                <w:rFonts w:eastAsia="Calibri"/>
              </w:rPr>
            </w:pPr>
            <w:r>
              <w:rPr>
                <w:rFonts w:eastAsia="Calibri"/>
              </w:rPr>
              <w:t>Net Revenue</w:t>
            </w:r>
          </w:p>
        </w:tc>
        <w:tc>
          <w:tcPr>
            <w:tcW w:w="2760" w:type="dxa"/>
          </w:tcPr>
          <w:p w14:paraId="702F7B06" w14:textId="77777777" w:rsidR="00B03473" w:rsidRDefault="00B03473" w:rsidP="002803D1">
            <w:pPr>
              <w:spacing w:after="120"/>
              <w:contextualSpacing/>
              <w:rPr>
                <w:rFonts w:eastAsia="Calibri"/>
              </w:rPr>
            </w:pPr>
          </w:p>
        </w:tc>
      </w:tr>
    </w:tbl>
    <w:p w14:paraId="1ED101DE" w14:textId="77777777" w:rsidR="00B77136" w:rsidRDefault="00B77136" w:rsidP="009A6980">
      <w:pPr>
        <w:spacing w:after="120"/>
        <w:ind w:left="0" w:firstLine="0"/>
        <w:contextualSpacing/>
        <w:rPr>
          <w:rFonts w:eastAsia="Calibri"/>
        </w:rPr>
      </w:pPr>
    </w:p>
    <w:p w14:paraId="78C4E7CA" w14:textId="77777777" w:rsidR="00B76033" w:rsidRDefault="00B76033" w:rsidP="00B76033">
      <w:pPr>
        <w:autoSpaceDE w:val="0"/>
        <w:autoSpaceDN w:val="0"/>
        <w:adjustRightInd w:val="0"/>
        <w:spacing w:after="120"/>
        <w:ind w:left="0" w:firstLine="0"/>
        <w:rPr>
          <w:rFonts w:eastAsia="Calibri"/>
        </w:rPr>
      </w:pPr>
    </w:p>
    <w:p w14:paraId="5341744B" w14:textId="44EAA4E6" w:rsidR="00B77136" w:rsidRDefault="00B77136" w:rsidP="00B76033">
      <w:pPr>
        <w:autoSpaceDE w:val="0"/>
        <w:autoSpaceDN w:val="0"/>
        <w:adjustRightInd w:val="0"/>
        <w:spacing w:after="120"/>
        <w:ind w:left="0" w:firstLine="0"/>
        <w:rPr>
          <w:rFonts w:eastAsia="Calibri"/>
        </w:rPr>
      </w:pPr>
      <w:r>
        <w:rPr>
          <w:rFonts w:eastAsia="Calibri"/>
        </w:rPr>
        <w:lastRenderedPageBreak/>
        <w:t>Definitions:</w:t>
      </w:r>
    </w:p>
    <w:p w14:paraId="5B48A753" w14:textId="70D1C4DD" w:rsidR="00B77136" w:rsidRDefault="00B77136" w:rsidP="00B77136">
      <w:pPr>
        <w:pStyle w:val="ListParagraph"/>
        <w:numPr>
          <w:ilvl w:val="0"/>
          <w:numId w:val="7"/>
        </w:numPr>
        <w:autoSpaceDE w:val="0"/>
        <w:autoSpaceDN w:val="0"/>
        <w:adjustRightInd w:val="0"/>
        <w:spacing w:after="120"/>
        <w:rPr>
          <w:rFonts w:ascii="Times New Roman" w:eastAsia="Calibri" w:hAnsi="Times New Roman" w:cs="Times New Roman"/>
        </w:rPr>
      </w:pPr>
      <w:r>
        <w:rPr>
          <w:rFonts w:ascii="Times New Roman" w:eastAsia="Calibri" w:hAnsi="Times New Roman" w:cs="Times New Roman"/>
        </w:rPr>
        <w:t xml:space="preserve">Third Party Revenue – Income from third party insurers, </w:t>
      </w:r>
      <w:r w:rsidR="009A6980">
        <w:rPr>
          <w:rFonts w:ascii="Times New Roman" w:eastAsia="Calibri" w:hAnsi="Times New Roman" w:cs="Times New Roman"/>
        </w:rPr>
        <w:t>i.e.,</w:t>
      </w:r>
      <w:r>
        <w:rPr>
          <w:rFonts w:ascii="Times New Roman" w:eastAsia="Calibri" w:hAnsi="Times New Roman" w:cs="Times New Roman"/>
        </w:rPr>
        <w:t xml:space="preserve"> Commercial, Medicare, Medicaid, etc. for patient care services.</w:t>
      </w:r>
    </w:p>
    <w:p w14:paraId="0D47FCB6" w14:textId="4992E388" w:rsidR="00B77136" w:rsidRDefault="00B77136" w:rsidP="00B77136">
      <w:pPr>
        <w:pStyle w:val="ListParagraph"/>
        <w:numPr>
          <w:ilvl w:val="0"/>
          <w:numId w:val="7"/>
        </w:numPr>
        <w:autoSpaceDE w:val="0"/>
        <w:autoSpaceDN w:val="0"/>
        <w:adjustRightInd w:val="0"/>
        <w:spacing w:after="120"/>
        <w:rPr>
          <w:rFonts w:ascii="Times New Roman" w:eastAsia="Calibri" w:hAnsi="Times New Roman" w:cs="Times New Roman"/>
        </w:rPr>
      </w:pPr>
      <w:r>
        <w:rPr>
          <w:rFonts w:ascii="Times New Roman" w:eastAsia="Calibri" w:hAnsi="Times New Roman" w:cs="Times New Roman"/>
        </w:rPr>
        <w:t>Other Revenue – Income from patient out of pocket payments and non</w:t>
      </w:r>
      <w:r w:rsidR="009A6980">
        <w:rPr>
          <w:rFonts w:ascii="Times New Roman" w:eastAsia="Calibri" w:hAnsi="Times New Roman" w:cs="Times New Roman"/>
        </w:rPr>
        <w:t>-</w:t>
      </w:r>
      <w:r>
        <w:rPr>
          <w:rFonts w:ascii="Times New Roman" w:eastAsia="Calibri" w:hAnsi="Times New Roman" w:cs="Times New Roman"/>
        </w:rPr>
        <w:t xml:space="preserve">patient revenue, </w:t>
      </w:r>
      <w:r w:rsidR="00D81898">
        <w:rPr>
          <w:rFonts w:ascii="Times New Roman" w:eastAsia="Calibri" w:hAnsi="Times New Roman" w:cs="Times New Roman"/>
        </w:rPr>
        <w:t>e.g.,</w:t>
      </w:r>
      <w:r>
        <w:rPr>
          <w:rFonts w:ascii="Times New Roman" w:eastAsia="Calibri" w:hAnsi="Times New Roman" w:cs="Times New Roman"/>
        </w:rPr>
        <w:t xml:space="preserve"> grants, fees, subsidies from government or other sources</w:t>
      </w:r>
    </w:p>
    <w:p w14:paraId="1DB698A1" w14:textId="77777777" w:rsidR="00B77136" w:rsidRDefault="00B77136" w:rsidP="00B77136">
      <w:pPr>
        <w:pStyle w:val="ListParagraph"/>
        <w:numPr>
          <w:ilvl w:val="0"/>
          <w:numId w:val="7"/>
        </w:numPr>
        <w:autoSpaceDE w:val="0"/>
        <w:autoSpaceDN w:val="0"/>
        <w:adjustRightInd w:val="0"/>
        <w:spacing w:after="120"/>
        <w:rPr>
          <w:rFonts w:ascii="Times New Roman" w:eastAsia="Calibri" w:hAnsi="Times New Roman" w:cs="Times New Roman"/>
        </w:rPr>
      </w:pPr>
      <w:r>
        <w:rPr>
          <w:rFonts w:ascii="Times New Roman" w:eastAsia="Calibri" w:hAnsi="Times New Roman" w:cs="Times New Roman"/>
        </w:rPr>
        <w:t>PS Expense – Personal Services expense for salaries, fringe benefits, overtime, etc.</w:t>
      </w:r>
    </w:p>
    <w:p w14:paraId="010A090C" w14:textId="77777777" w:rsidR="00B77136" w:rsidRDefault="00B77136" w:rsidP="00B77136">
      <w:pPr>
        <w:pStyle w:val="ListParagraph"/>
        <w:numPr>
          <w:ilvl w:val="0"/>
          <w:numId w:val="7"/>
        </w:numPr>
        <w:autoSpaceDE w:val="0"/>
        <w:autoSpaceDN w:val="0"/>
        <w:adjustRightInd w:val="0"/>
        <w:spacing w:after="120"/>
        <w:rPr>
          <w:rFonts w:ascii="Times New Roman" w:eastAsia="Calibri" w:hAnsi="Times New Roman" w:cs="Times New Roman"/>
        </w:rPr>
      </w:pPr>
      <w:r>
        <w:rPr>
          <w:rFonts w:ascii="Times New Roman" w:eastAsia="Calibri" w:hAnsi="Times New Roman" w:cs="Times New Roman"/>
        </w:rPr>
        <w:t>OTPS Expense – Other Than Personal Services expense for supplies, equipment, space, utilities, etc.</w:t>
      </w:r>
    </w:p>
    <w:p w14:paraId="78737B73" w14:textId="7D53F90C" w:rsidR="009A6980" w:rsidRDefault="00B77136" w:rsidP="009A6980">
      <w:pPr>
        <w:pStyle w:val="ListParagraph"/>
        <w:numPr>
          <w:ilvl w:val="0"/>
          <w:numId w:val="7"/>
        </w:numPr>
        <w:autoSpaceDE w:val="0"/>
        <w:autoSpaceDN w:val="0"/>
        <w:adjustRightInd w:val="0"/>
        <w:spacing w:after="120"/>
        <w:rPr>
          <w:rFonts w:ascii="Times New Roman" w:eastAsia="Calibri" w:hAnsi="Times New Roman" w:cs="Times New Roman"/>
        </w:rPr>
      </w:pPr>
      <w:r>
        <w:rPr>
          <w:rFonts w:ascii="Times New Roman" w:eastAsia="Calibri" w:hAnsi="Times New Roman" w:cs="Times New Roman"/>
        </w:rPr>
        <w:t xml:space="preserve">Debt Service Expense – On-going payments of interest and </w:t>
      </w:r>
      <w:r w:rsidR="00D81898">
        <w:rPr>
          <w:rFonts w:ascii="Times New Roman" w:eastAsia="Calibri" w:hAnsi="Times New Roman" w:cs="Times New Roman"/>
        </w:rPr>
        <w:t>principal</w:t>
      </w:r>
      <w:r>
        <w:rPr>
          <w:rFonts w:ascii="Times New Roman" w:eastAsia="Calibri" w:hAnsi="Times New Roman" w:cs="Times New Roman"/>
        </w:rPr>
        <w:t xml:space="preserve"> resulting from borrowing money for the program or project</w:t>
      </w:r>
      <w:r w:rsidR="009A6980">
        <w:rPr>
          <w:rFonts w:ascii="Times New Roman" w:eastAsia="Calibri" w:hAnsi="Times New Roman" w:cs="Times New Roman"/>
        </w:rPr>
        <w:t>.</w:t>
      </w:r>
    </w:p>
    <w:p w14:paraId="11930C00" w14:textId="0E6B788E" w:rsidR="00B46994" w:rsidRDefault="00260049" w:rsidP="00B46994">
      <w:pPr>
        <w:pStyle w:val="ListParagraph"/>
        <w:numPr>
          <w:ilvl w:val="0"/>
          <w:numId w:val="7"/>
        </w:numPr>
        <w:autoSpaceDE w:val="0"/>
        <w:autoSpaceDN w:val="0"/>
        <w:adjustRightInd w:val="0"/>
        <w:spacing w:after="120"/>
        <w:rPr>
          <w:rFonts w:ascii="Times New Roman" w:eastAsia="Calibri" w:hAnsi="Times New Roman" w:cs="Times New Roman"/>
        </w:rPr>
      </w:pPr>
      <w:r>
        <w:rPr>
          <w:rFonts w:ascii="Times New Roman" w:eastAsia="Calibri" w:hAnsi="Times New Roman" w:cs="Times New Roman"/>
        </w:rPr>
        <w:t>Net Revenue – positive net revenue (surplus) or negative net revenue (deficit).</w:t>
      </w:r>
    </w:p>
    <w:p w14:paraId="1AEDA380" w14:textId="66D3E2DE" w:rsidR="00C46937" w:rsidRDefault="00C46937" w:rsidP="00C46937">
      <w:pPr>
        <w:pStyle w:val="ListParagraph"/>
        <w:numPr>
          <w:ilvl w:val="0"/>
          <w:numId w:val="7"/>
        </w:numPr>
        <w:autoSpaceDE w:val="0"/>
        <w:autoSpaceDN w:val="0"/>
        <w:adjustRightInd w:val="0"/>
        <w:spacing w:after="120"/>
        <w:rPr>
          <w:rFonts w:ascii="Times New Roman" w:eastAsia="Calibri" w:hAnsi="Times New Roman" w:cs="Times New Roman"/>
        </w:rPr>
      </w:pPr>
      <w:r>
        <w:rPr>
          <w:rFonts w:ascii="Times New Roman" w:eastAsia="Calibri" w:hAnsi="Times New Roman" w:cs="Times New Roman"/>
        </w:rPr>
        <w:t>Full Year Financial Impact – Projected change in revenue and expense associated with the improvement program or project for the first full year following implementation of the improvement program or project.</w:t>
      </w:r>
    </w:p>
    <w:p w14:paraId="10FB7CC1" w14:textId="77777777" w:rsidR="00C46937" w:rsidRDefault="00C46937" w:rsidP="00C46937">
      <w:pPr>
        <w:pStyle w:val="ListParagraph"/>
        <w:autoSpaceDE w:val="0"/>
        <w:autoSpaceDN w:val="0"/>
        <w:adjustRightInd w:val="0"/>
        <w:spacing w:after="120"/>
        <w:rPr>
          <w:rFonts w:ascii="Times New Roman" w:eastAsia="Calibri" w:hAnsi="Times New Roman" w:cs="Times New Roman"/>
        </w:rPr>
      </w:pPr>
    </w:p>
    <w:p w14:paraId="346055F3" w14:textId="77777777" w:rsidR="00B46994" w:rsidRDefault="00B46994" w:rsidP="00B46994">
      <w:pPr>
        <w:autoSpaceDE w:val="0"/>
        <w:autoSpaceDN w:val="0"/>
        <w:adjustRightInd w:val="0"/>
        <w:spacing w:after="120"/>
        <w:rPr>
          <w:rFonts w:eastAsia="Calibri"/>
        </w:rPr>
      </w:pPr>
    </w:p>
    <w:p w14:paraId="3D09FF16" w14:textId="49969D4C" w:rsidR="00B46994" w:rsidRPr="001C0030" w:rsidRDefault="00B46994" w:rsidP="00B46994">
      <w:pPr>
        <w:autoSpaceDE w:val="0"/>
        <w:autoSpaceDN w:val="0"/>
        <w:adjustRightInd w:val="0"/>
        <w:spacing w:after="120"/>
        <w:rPr>
          <w:rFonts w:eastAsia="Calibri"/>
        </w:rPr>
      </w:pPr>
      <w:r w:rsidRPr="001C0030">
        <w:rPr>
          <w:rFonts w:eastAsia="Calibri"/>
        </w:rPr>
        <w:t>Grading of the Health Care Financial Improvement Case Study will be based on the following elements:</w:t>
      </w:r>
    </w:p>
    <w:p w14:paraId="29B40979" w14:textId="01BA2B00" w:rsidR="00B46994" w:rsidRPr="001C0030" w:rsidRDefault="00B46994" w:rsidP="00B46994">
      <w:pPr>
        <w:pStyle w:val="ListParagraph"/>
        <w:numPr>
          <w:ilvl w:val="0"/>
          <w:numId w:val="9"/>
        </w:numPr>
        <w:autoSpaceDE w:val="0"/>
        <w:autoSpaceDN w:val="0"/>
        <w:adjustRightInd w:val="0"/>
        <w:spacing w:after="120"/>
        <w:rPr>
          <w:rFonts w:ascii="Times New Roman" w:eastAsia="Calibri" w:hAnsi="Times New Roman" w:cs="Times New Roman"/>
        </w:rPr>
      </w:pPr>
      <w:r w:rsidRPr="001C0030">
        <w:rPr>
          <w:rFonts w:ascii="Times New Roman" w:eastAsia="Calibri" w:hAnsi="Times New Roman" w:cs="Times New Roman"/>
          <w:u w:val="single"/>
        </w:rPr>
        <w:t>Selection of a case study topic</w:t>
      </w:r>
      <w:r w:rsidRPr="001C0030">
        <w:rPr>
          <w:rFonts w:ascii="Times New Roman" w:eastAsia="Calibri" w:hAnsi="Times New Roman" w:cs="Times New Roman"/>
        </w:rPr>
        <w:t xml:space="preserve"> that demonstrates a successful financial improvement project or program</w:t>
      </w:r>
      <w:r w:rsidR="000230B2" w:rsidRPr="001C0030">
        <w:rPr>
          <w:rFonts w:ascii="Times New Roman" w:eastAsia="Calibri" w:hAnsi="Times New Roman" w:cs="Times New Roman"/>
        </w:rPr>
        <w:t>, i.e., one that achieved measurable financial improvement</w:t>
      </w:r>
      <w:r w:rsidR="001C0030">
        <w:rPr>
          <w:rFonts w:ascii="Times New Roman" w:eastAsia="Calibri" w:hAnsi="Times New Roman" w:cs="Times New Roman"/>
        </w:rPr>
        <w:t>,</w:t>
      </w:r>
      <w:r w:rsidR="000230B2" w:rsidRPr="001C0030">
        <w:rPr>
          <w:rFonts w:ascii="Times New Roman" w:eastAsia="Calibri" w:hAnsi="Times New Roman" w:cs="Times New Roman"/>
        </w:rPr>
        <w:t xml:space="preserve"> in an organization in which one of the students works. It is important to select a project or program that is properly scoped, i.e., not too large and not too small. Discussion of the case study topic with the Professor </w:t>
      </w:r>
      <w:r w:rsidR="005350C6" w:rsidRPr="001C0030">
        <w:rPr>
          <w:rFonts w:ascii="Times New Roman" w:eastAsia="Calibri" w:hAnsi="Times New Roman" w:cs="Times New Roman"/>
        </w:rPr>
        <w:t xml:space="preserve">prior to class 3 </w:t>
      </w:r>
      <w:r w:rsidR="000230B2" w:rsidRPr="001C0030">
        <w:rPr>
          <w:rFonts w:ascii="Times New Roman" w:eastAsia="Calibri" w:hAnsi="Times New Roman" w:cs="Times New Roman"/>
        </w:rPr>
        <w:t>will assist with the selection process.</w:t>
      </w:r>
    </w:p>
    <w:p w14:paraId="0CAB4DE7" w14:textId="38E41D19" w:rsidR="000230B2" w:rsidRPr="001C0030" w:rsidRDefault="000230B2" w:rsidP="00B46994">
      <w:pPr>
        <w:pStyle w:val="ListParagraph"/>
        <w:numPr>
          <w:ilvl w:val="0"/>
          <w:numId w:val="9"/>
        </w:numPr>
        <w:autoSpaceDE w:val="0"/>
        <w:autoSpaceDN w:val="0"/>
        <w:adjustRightInd w:val="0"/>
        <w:spacing w:after="120"/>
        <w:rPr>
          <w:rFonts w:ascii="Times New Roman" w:eastAsia="Calibri" w:hAnsi="Times New Roman" w:cs="Times New Roman"/>
        </w:rPr>
      </w:pPr>
      <w:r w:rsidRPr="001C0030">
        <w:rPr>
          <w:rFonts w:ascii="Times New Roman" w:eastAsia="Calibri" w:hAnsi="Times New Roman" w:cs="Times New Roman"/>
          <w:u w:val="single"/>
        </w:rPr>
        <w:t>Written case study</w:t>
      </w:r>
      <w:r w:rsidRPr="001C0030">
        <w:rPr>
          <w:rFonts w:ascii="Times New Roman" w:eastAsia="Calibri" w:hAnsi="Times New Roman" w:cs="Times New Roman"/>
        </w:rPr>
        <w:t xml:space="preserve"> that covers all the elements described in the syllabus, is well written, well organized and demonstrates a thorough understanding of the selected project or program.</w:t>
      </w:r>
    </w:p>
    <w:p w14:paraId="1D3458F4" w14:textId="4C175C8D" w:rsidR="000230B2" w:rsidRDefault="000230B2" w:rsidP="00B46994">
      <w:pPr>
        <w:pStyle w:val="ListParagraph"/>
        <w:numPr>
          <w:ilvl w:val="0"/>
          <w:numId w:val="9"/>
        </w:numPr>
        <w:autoSpaceDE w:val="0"/>
        <w:autoSpaceDN w:val="0"/>
        <w:adjustRightInd w:val="0"/>
        <w:spacing w:after="120"/>
        <w:rPr>
          <w:rFonts w:ascii="Times New Roman" w:eastAsia="Calibri" w:hAnsi="Times New Roman" w:cs="Times New Roman"/>
        </w:rPr>
      </w:pPr>
      <w:r w:rsidRPr="001C0030">
        <w:rPr>
          <w:rFonts w:ascii="Times New Roman" w:eastAsia="Calibri" w:hAnsi="Times New Roman" w:cs="Times New Roman"/>
          <w:u w:val="single"/>
        </w:rPr>
        <w:t xml:space="preserve">A </w:t>
      </w:r>
      <w:r w:rsidR="005350C6" w:rsidRPr="001C0030">
        <w:rPr>
          <w:rFonts w:ascii="Times New Roman" w:eastAsia="Calibri" w:hAnsi="Times New Roman" w:cs="Times New Roman"/>
          <w:u w:val="single"/>
        </w:rPr>
        <w:t>classroom</w:t>
      </w:r>
      <w:r w:rsidRPr="001C0030">
        <w:rPr>
          <w:rFonts w:ascii="Times New Roman" w:eastAsia="Calibri" w:hAnsi="Times New Roman" w:cs="Times New Roman"/>
          <w:u w:val="single"/>
        </w:rPr>
        <w:t xml:space="preserve"> presentation </w:t>
      </w:r>
      <w:r w:rsidRPr="001C0030">
        <w:rPr>
          <w:rFonts w:ascii="Times New Roman" w:eastAsia="Calibri" w:hAnsi="Times New Roman" w:cs="Times New Roman"/>
        </w:rPr>
        <w:t xml:space="preserve">of the case study that </w:t>
      </w:r>
      <w:r w:rsidR="005350C6" w:rsidRPr="001C0030">
        <w:rPr>
          <w:rFonts w:ascii="Times New Roman" w:eastAsia="Calibri" w:hAnsi="Times New Roman" w:cs="Times New Roman"/>
        </w:rPr>
        <w:t xml:space="preserve">clearly </w:t>
      </w:r>
      <w:r w:rsidRPr="001C0030">
        <w:rPr>
          <w:rFonts w:ascii="Times New Roman" w:eastAsia="Calibri" w:hAnsi="Times New Roman" w:cs="Times New Roman"/>
        </w:rPr>
        <w:t>communicates the key elements of the case study</w:t>
      </w:r>
      <w:r w:rsidR="005350C6" w:rsidRPr="001C0030">
        <w:rPr>
          <w:rFonts w:ascii="Times New Roman" w:eastAsia="Calibri" w:hAnsi="Times New Roman" w:cs="Times New Roman"/>
        </w:rPr>
        <w:t xml:space="preserve"> within the time allotted. Each member of the team should participate in the presentation and demonstrate a familiarity with the case study material. Students can refer to slides or notes during the presentation but should not read directly from the slides or notes.</w:t>
      </w:r>
    </w:p>
    <w:p w14:paraId="4B8C5DB9" w14:textId="77777777" w:rsidR="00B76033" w:rsidRDefault="00B76033" w:rsidP="00B76033">
      <w:pPr>
        <w:autoSpaceDE w:val="0"/>
        <w:autoSpaceDN w:val="0"/>
        <w:adjustRightInd w:val="0"/>
        <w:spacing w:after="120"/>
        <w:rPr>
          <w:rFonts w:eastAsia="Calibri"/>
        </w:rPr>
      </w:pPr>
    </w:p>
    <w:p w14:paraId="714B3E7F" w14:textId="77777777" w:rsidR="00301EDA" w:rsidRDefault="00E720FC" w:rsidP="00301EDA">
      <w:pPr>
        <w:ind w:right="70"/>
        <w:rPr>
          <w:rFonts w:ascii="Constantia" w:hAnsi="Constantia"/>
          <w:sz w:val="22"/>
          <w:szCs w:val="22"/>
          <w:u w:val="single"/>
        </w:rPr>
      </w:pPr>
      <w:r>
        <w:rPr>
          <w:rFonts w:ascii="Constantia" w:hAnsi="Constantia"/>
          <w:sz w:val="22"/>
          <w:szCs w:val="22"/>
          <w:u w:val="single"/>
        </w:rPr>
        <w:t>Students</w:t>
      </w:r>
      <w:r w:rsidR="00B76033" w:rsidRPr="00B76033">
        <w:rPr>
          <w:rFonts w:ascii="Constantia" w:hAnsi="Constantia"/>
          <w:sz w:val="22"/>
          <w:szCs w:val="22"/>
          <w:u w:val="single"/>
        </w:rPr>
        <w:t xml:space="preserve"> are permitted to use ChatGPT or other generative AI tools to conduct background research for the Financial Improvement Case Study. If you use these tools, please </w:t>
      </w:r>
      <w:r w:rsidR="00B76033">
        <w:rPr>
          <w:rFonts w:ascii="Constantia" w:hAnsi="Constantia"/>
          <w:sz w:val="22"/>
          <w:szCs w:val="22"/>
          <w:u w:val="single"/>
        </w:rPr>
        <w:t xml:space="preserve">ensure that the Case Study is written in your own words and is not copied directly from the AI tools. </w:t>
      </w:r>
      <w:r>
        <w:rPr>
          <w:rFonts w:ascii="Constantia" w:hAnsi="Constantia"/>
          <w:sz w:val="22"/>
          <w:szCs w:val="22"/>
          <w:u w:val="single"/>
        </w:rPr>
        <w:t>I</w:t>
      </w:r>
      <w:r w:rsidR="00B76033">
        <w:rPr>
          <w:rFonts w:ascii="Constantia" w:hAnsi="Constantia"/>
          <w:sz w:val="22"/>
          <w:szCs w:val="22"/>
          <w:u w:val="single"/>
        </w:rPr>
        <w:t>nclude appropriate citations for any external sources, including AI tools, used in the Case Study</w:t>
      </w:r>
    </w:p>
    <w:p w14:paraId="78A6FE48" w14:textId="77777777" w:rsidR="00301EDA" w:rsidRDefault="00301EDA" w:rsidP="00301EDA">
      <w:pPr>
        <w:ind w:right="70"/>
      </w:pPr>
    </w:p>
    <w:p w14:paraId="616CFB5A" w14:textId="6EA986D8" w:rsidR="00AC2285" w:rsidRPr="00260049" w:rsidRDefault="006D32D0" w:rsidP="00301EDA">
      <w:pPr>
        <w:ind w:right="70"/>
        <w:rPr>
          <w:rFonts w:eastAsia="Calibri"/>
        </w:rPr>
      </w:pPr>
      <w:r>
        <w:t xml:space="preserve">SCHEDULE </w:t>
      </w:r>
    </w:p>
    <w:tbl>
      <w:tblPr>
        <w:tblStyle w:val="TableGrid"/>
        <w:tblW w:w="4677" w:type="dxa"/>
        <w:tblInd w:w="106" w:type="dxa"/>
        <w:tblCellMar>
          <w:left w:w="4" w:type="dxa"/>
          <w:right w:w="115" w:type="dxa"/>
        </w:tblCellMar>
        <w:tblLook w:val="04A0" w:firstRow="1" w:lastRow="0" w:firstColumn="1" w:lastColumn="0" w:noHBand="0" w:noVBand="1"/>
      </w:tblPr>
      <w:tblGrid>
        <w:gridCol w:w="4677"/>
      </w:tblGrid>
      <w:tr w:rsidR="00AC2285" w14:paraId="15148D6B" w14:textId="77777777">
        <w:trPr>
          <w:trHeight w:val="284"/>
        </w:trPr>
        <w:tc>
          <w:tcPr>
            <w:tcW w:w="4677" w:type="dxa"/>
            <w:tcBorders>
              <w:top w:val="single" w:sz="4" w:space="0" w:color="000000"/>
              <w:left w:val="single" w:sz="4" w:space="0" w:color="000000"/>
              <w:bottom w:val="single" w:sz="4" w:space="0" w:color="000000"/>
              <w:right w:val="single" w:sz="4" w:space="0" w:color="000000"/>
            </w:tcBorders>
          </w:tcPr>
          <w:p w14:paraId="2CF383D0" w14:textId="77777777" w:rsidR="00AC2285" w:rsidRDefault="006D32D0">
            <w:pPr>
              <w:spacing w:after="0" w:line="259" w:lineRule="auto"/>
              <w:ind w:firstLine="0"/>
            </w:pPr>
            <w:r>
              <w:t xml:space="preserve">Tuesdays, 4:55-6:35 pm </w:t>
            </w:r>
          </w:p>
        </w:tc>
      </w:tr>
      <w:tr w:rsidR="00AC2285" w14:paraId="2751AA9D" w14:textId="77777777">
        <w:trPr>
          <w:trHeight w:val="286"/>
        </w:trPr>
        <w:tc>
          <w:tcPr>
            <w:tcW w:w="4677" w:type="dxa"/>
            <w:tcBorders>
              <w:top w:val="single" w:sz="4" w:space="0" w:color="000000"/>
              <w:left w:val="single" w:sz="4" w:space="0" w:color="000000"/>
              <w:bottom w:val="single" w:sz="4" w:space="0" w:color="000000"/>
              <w:right w:val="single" w:sz="4" w:space="0" w:color="000000"/>
            </w:tcBorders>
          </w:tcPr>
          <w:p w14:paraId="508206F4" w14:textId="77777777" w:rsidR="00AC2285" w:rsidRDefault="006D32D0">
            <w:pPr>
              <w:spacing w:after="0" w:line="259" w:lineRule="auto"/>
              <w:ind w:left="0" w:firstLine="0"/>
            </w:pPr>
            <w:r>
              <w:rPr>
                <w:sz w:val="20"/>
              </w:rPr>
              <w:t xml:space="preserve"> </w:t>
            </w:r>
          </w:p>
        </w:tc>
      </w:tr>
      <w:tr w:rsidR="00AC2285" w14:paraId="5BCD2DFD" w14:textId="77777777">
        <w:trPr>
          <w:trHeight w:val="290"/>
        </w:trPr>
        <w:tc>
          <w:tcPr>
            <w:tcW w:w="4677" w:type="dxa"/>
            <w:tcBorders>
              <w:top w:val="single" w:sz="4" w:space="0" w:color="000000"/>
              <w:left w:val="single" w:sz="4" w:space="0" w:color="000000"/>
              <w:bottom w:val="single" w:sz="4" w:space="0" w:color="000000"/>
              <w:right w:val="single" w:sz="4" w:space="0" w:color="000000"/>
            </w:tcBorders>
          </w:tcPr>
          <w:p w14:paraId="030B1910" w14:textId="6C60D103" w:rsidR="00AC2285" w:rsidRDefault="006D32D0">
            <w:pPr>
              <w:spacing w:after="0" w:line="259" w:lineRule="auto"/>
              <w:ind w:firstLine="0"/>
            </w:pPr>
            <w:r>
              <w:t xml:space="preserve">September </w:t>
            </w:r>
            <w:r w:rsidR="00C55DC9">
              <w:t>3</w:t>
            </w:r>
            <w:r>
              <w:t xml:space="preserve"> – Class 1 </w:t>
            </w:r>
          </w:p>
        </w:tc>
      </w:tr>
      <w:tr w:rsidR="00AC2285" w14:paraId="2736F66B" w14:textId="77777777">
        <w:trPr>
          <w:trHeight w:val="284"/>
        </w:trPr>
        <w:tc>
          <w:tcPr>
            <w:tcW w:w="4677" w:type="dxa"/>
            <w:tcBorders>
              <w:top w:val="single" w:sz="4" w:space="0" w:color="000000"/>
              <w:left w:val="single" w:sz="4" w:space="0" w:color="000000"/>
              <w:bottom w:val="single" w:sz="4" w:space="0" w:color="000000"/>
              <w:right w:val="single" w:sz="4" w:space="0" w:color="000000"/>
            </w:tcBorders>
          </w:tcPr>
          <w:p w14:paraId="696A1F12" w14:textId="715748FB" w:rsidR="00AC2285" w:rsidRDefault="006D32D0">
            <w:pPr>
              <w:spacing w:after="0" w:line="259" w:lineRule="auto"/>
              <w:ind w:firstLine="0"/>
            </w:pPr>
            <w:r>
              <w:t>September 1</w:t>
            </w:r>
            <w:r w:rsidR="00C55DC9">
              <w:t>0</w:t>
            </w:r>
            <w:r>
              <w:t xml:space="preserve"> – Class 2 </w:t>
            </w:r>
          </w:p>
        </w:tc>
      </w:tr>
      <w:tr w:rsidR="00AC2285" w14:paraId="22A47E12" w14:textId="77777777">
        <w:trPr>
          <w:trHeight w:val="286"/>
        </w:trPr>
        <w:tc>
          <w:tcPr>
            <w:tcW w:w="4677" w:type="dxa"/>
            <w:tcBorders>
              <w:top w:val="single" w:sz="4" w:space="0" w:color="000000"/>
              <w:left w:val="single" w:sz="4" w:space="0" w:color="000000"/>
              <w:bottom w:val="single" w:sz="4" w:space="0" w:color="000000"/>
              <w:right w:val="single" w:sz="4" w:space="0" w:color="000000"/>
            </w:tcBorders>
          </w:tcPr>
          <w:p w14:paraId="02982A89" w14:textId="22FB357A" w:rsidR="00AC2285" w:rsidRDefault="006D32D0">
            <w:pPr>
              <w:spacing w:after="0" w:line="259" w:lineRule="auto"/>
              <w:ind w:firstLine="0"/>
            </w:pPr>
            <w:r>
              <w:t xml:space="preserve">September </w:t>
            </w:r>
            <w:r w:rsidR="009A6980">
              <w:t>1</w:t>
            </w:r>
            <w:r w:rsidR="00C55DC9">
              <w:t>7</w:t>
            </w:r>
            <w:r>
              <w:t xml:space="preserve"> – Class 3 </w:t>
            </w:r>
          </w:p>
        </w:tc>
      </w:tr>
      <w:tr w:rsidR="00AC2285" w14:paraId="637A0A23" w14:textId="77777777">
        <w:trPr>
          <w:trHeight w:val="284"/>
        </w:trPr>
        <w:tc>
          <w:tcPr>
            <w:tcW w:w="4677" w:type="dxa"/>
            <w:tcBorders>
              <w:top w:val="single" w:sz="4" w:space="0" w:color="000000"/>
              <w:left w:val="single" w:sz="4" w:space="0" w:color="000000"/>
              <w:bottom w:val="single" w:sz="4" w:space="0" w:color="000000"/>
              <w:right w:val="single" w:sz="4" w:space="0" w:color="000000"/>
            </w:tcBorders>
          </w:tcPr>
          <w:p w14:paraId="1B854A24" w14:textId="0C789152" w:rsidR="00AC2285" w:rsidRDefault="006D32D0">
            <w:pPr>
              <w:spacing w:after="0" w:line="259" w:lineRule="auto"/>
              <w:ind w:firstLine="0"/>
            </w:pPr>
            <w:r>
              <w:t>September 2</w:t>
            </w:r>
            <w:r w:rsidR="00C55DC9">
              <w:t>4</w:t>
            </w:r>
            <w:r>
              <w:t xml:space="preserve"> – Class 4 </w:t>
            </w:r>
          </w:p>
        </w:tc>
      </w:tr>
      <w:tr w:rsidR="00AC2285" w14:paraId="4DBD25A0" w14:textId="77777777">
        <w:trPr>
          <w:trHeight w:val="286"/>
        </w:trPr>
        <w:tc>
          <w:tcPr>
            <w:tcW w:w="4677" w:type="dxa"/>
            <w:tcBorders>
              <w:top w:val="single" w:sz="4" w:space="0" w:color="000000"/>
              <w:left w:val="single" w:sz="4" w:space="0" w:color="000000"/>
              <w:bottom w:val="single" w:sz="4" w:space="0" w:color="000000"/>
              <w:right w:val="single" w:sz="4" w:space="0" w:color="000000"/>
            </w:tcBorders>
          </w:tcPr>
          <w:p w14:paraId="5BE3D05B" w14:textId="26081D86" w:rsidR="00AC2285" w:rsidRDefault="006D32D0">
            <w:pPr>
              <w:spacing w:after="0" w:line="259" w:lineRule="auto"/>
              <w:ind w:firstLine="0"/>
            </w:pPr>
            <w:r>
              <w:lastRenderedPageBreak/>
              <w:t xml:space="preserve">October </w:t>
            </w:r>
            <w:r w:rsidR="00C55DC9">
              <w:t>1</w:t>
            </w:r>
            <w:r>
              <w:t xml:space="preserve"> – Class 5 </w:t>
            </w:r>
          </w:p>
        </w:tc>
      </w:tr>
      <w:tr w:rsidR="00AC2285" w14:paraId="3627FB61" w14:textId="77777777">
        <w:trPr>
          <w:trHeight w:val="288"/>
        </w:trPr>
        <w:tc>
          <w:tcPr>
            <w:tcW w:w="4677" w:type="dxa"/>
            <w:tcBorders>
              <w:top w:val="single" w:sz="4" w:space="0" w:color="000000"/>
              <w:left w:val="single" w:sz="4" w:space="0" w:color="000000"/>
              <w:bottom w:val="single" w:sz="4" w:space="0" w:color="000000"/>
              <w:right w:val="single" w:sz="4" w:space="0" w:color="000000"/>
            </w:tcBorders>
          </w:tcPr>
          <w:p w14:paraId="6C593A8C" w14:textId="7B8842C4" w:rsidR="00AC2285" w:rsidRDefault="006D32D0">
            <w:pPr>
              <w:spacing w:after="0" w:line="259" w:lineRule="auto"/>
              <w:ind w:firstLine="0"/>
            </w:pPr>
            <w:r>
              <w:t xml:space="preserve">October </w:t>
            </w:r>
            <w:r w:rsidR="00C55DC9">
              <w:t>8</w:t>
            </w:r>
            <w:r>
              <w:t xml:space="preserve"> – Class 6 </w:t>
            </w:r>
          </w:p>
        </w:tc>
      </w:tr>
      <w:tr w:rsidR="00AC2285" w14:paraId="52F4E01C" w14:textId="77777777">
        <w:trPr>
          <w:trHeight w:val="286"/>
        </w:trPr>
        <w:tc>
          <w:tcPr>
            <w:tcW w:w="4677" w:type="dxa"/>
            <w:tcBorders>
              <w:top w:val="single" w:sz="4" w:space="0" w:color="000000"/>
              <w:left w:val="single" w:sz="4" w:space="0" w:color="000000"/>
              <w:bottom w:val="single" w:sz="4" w:space="0" w:color="000000"/>
              <w:right w:val="single" w:sz="4" w:space="0" w:color="000000"/>
            </w:tcBorders>
          </w:tcPr>
          <w:p w14:paraId="36E38F15" w14:textId="6A9B25D3" w:rsidR="00AC2285" w:rsidRDefault="006D32D0">
            <w:pPr>
              <w:spacing w:after="0" w:line="259" w:lineRule="auto"/>
              <w:ind w:firstLine="0"/>
            </w:pPr>
            <w:r>
              <w:t>October 2</w:t>
            </w:r>
            <w:r w:rsidR="00C55DC9">
              <w:t>2</w:t>
            </w:r>
            <w:r>
              <w:t xml:space="preserve"> – Class 7 </w:t>
            </w:r>
          </w:p>
        </w:tc>
      </w:tr>
    </w:tbl>
    <w:p w14:paraId="505DA646" w14:textId="77777777" w:rsidR="009A6980" w:rsidRDefault="009A6980">
      <w:pPr>
        <w:pStyle w:val="Heading1"/>
        <w:spacing w:after="262"/>
        <w:ind w:left="95"/>
      </w:pPr>
    </w:p>
    <w:p w14:paraId="1A13639C" w14:textId="77777777" w:rsidR="001C0030" w:rsidRPr="001C0030" w:rsidRDefault="001C0030" w:rsidP="001C0030">
      <w:pPr>
        <w:rPr>
          <w:lang w:bidi="ar-SA"/>
        </w:rPr>
      </w:pPr>
    </w:p>
    <w:p w14:paraId="174676F4" w14:textId="45AE547D" w:rsidR="00AC2285" w:rsidRDefault="009A1AB4">
      <w:pPr>
        <w:pStyle w:val="Heading1"/>
        <w:spacing w:after="262"/>
        <w:ind w:left="95"/>
      </w:pPr>
      <w:r>
        <w:t xml:space="preserve">OTHER COURSE RULES AND REQUIREMENTS </w:t>
      </w:r>
    </w:p>
    <w:p w14:paraId="054E2DE2" w14:textId="7E2550F6" w:rsidR="00AC2285" w:rsidRDefault="006D32D0">
      <w:pPr>
        <w:numPr>
          <w:ilvl w:val="0"/>
          <w:numId w:val="4"/>
        </w:numPr>
        <w:ind w:left="823" w:right="70" w:hanging="362"/>
      </w:pPr>
      <w:r>
        <w:t xml:space="preserve">This is an intermediate level graduate course. The material builds cumulatively, so do not fall behind. Please </w:t>
      </w:r>
      <w:r>
        <w:t>complete readings</w:t>
      </w:r>
      <w:r w:rsidR="00345942">
        <w:t xml:space="preserve"> and review the weekly slide presentations</w:t>
      </w:r>
      <w:r>
        <w:t xml:space="preserve"> BEFORE class. </w:t>
      </w:r>
      <w:r w:rsidR="009A1AB4">
        <w:t>Please reach out to the professor if you need assistance in understanding the course material or completing the course assignments. Office hours can be scheduled in person before or after class or at other times</w:t>
      </w:r>
      <w:r w:rsidR="001C0030">
        <w:t xml:space="preserve"> remotely</w:t>
      </w:r>
      <w:r w:rsidR="009A1AB4">
        <w:t xml:space="preserve"> through Zoom.</w:t>
      </w:r>
    </w:p>
    <w:p w14:paraId="2342F645" w14:textId="77777777" w:rsidR="00AC2285" w:rsidRDefault="006D32D0">
      <w:pPr>
        <w:spacing w:after="0" w:line="259" w:lineRule="auto"/>
        <w:ind w:left="0" w:firstLine="0"/>
      </w:pPr>
      <w:r>
        <w:rPr>
          <w:sz w:val="23"/>
        </w:rPr>
        <w:t xml:space="preserve"> </w:t>
      </w:r>
    </w:p>
    <w:p w14:paraId="07E28606" w14:textId="2052A284" w:rsidR="00AC2285" w:rsidRDefault="006D32D0" w:rsidP="009A6980">
      <w:pPr>
        <w:numPr>
          <w:ilvl w:val="0"/>
          <w:numId w:val="4"/>
        </w:numPr>
        <w:ind w:left="823" w:right="70" w:hanging="362"/>
      </w:pPr>
      <w:r>
        <w:t xml:space="preserve">There are no extra credit assignments. </w:t>
      </w:r>
    </w:p>
    <w:p w14:paraId="5F49FAFF" w14:textId="77777777" w:rsidR="009A6980" w:rsidRDefault="009A6980" w:rsidP="009A6980">
      <w:pPr>
        <w:ind w:left="0" w:right="70" w:firstLine="0"/>
      </w:pPr>
    </w:p>
    <w:p w14:paraId="5CDA9B16" w14:textId="2A7E1345" w:rsidR="00AC2285" w:rsidRDefault="006D32D0" w:rsidP="009A6980">
      <w:pPr>
        <w:numPr>
          <w:ilvl w:val="0"/>
          <w:numId w:val="4"/>
        </w:numPr>
        <w:ind w:left="823" w:right="70" w:hanging="362"/>
      </w:pPr>
      <w:r>
        <w:t xml:space="preserve">The </w:t>
      </w:r>
      <w:r w:rsidR="009A6980">
        <w:t xml:space="preserve">final exam will be </w:t>
      </w:r>
      <w:r>
        <w:t xml:space="preserve">administered </w:t>
      </w:r>
      <w:r w:rsidR="009A6980">
        <w:t xml:space="preserve">in class </w:t>
      </w:r>
      <w:r>
        <w:t>through Brightspace</w:t>
      </w:r>
      <w:r w:rsidR="0088328D">
        <w:t xml:space="preserve"> using the Respondus Lockdown Browser</w:t>
      </w:r>
      <w:r>
        <w:t xml:space="preserve">. </w:t>
      </w:r>
    </w:p>
    <w:p w14:paraId="09169479" w14:textId="77777777" w:rsidR="009A6980" w:rsidRDefault="009A6980" w:rsidP="009A6980">
      <w:pPr>
        <w:ind w:left="0" w:right="70" w:firstLine="0"/>
      </w:pPr>
    </w:p>
    <w:p w14:paraId="10B0B603" w14:textId="273A5D6C" w:rsidR="005350C6" w:rsidRDefault="006D32D0">
      <w:pPr>
        <w:numPr>
          <w:ilvl w:val="0"/>
          <w:numId w:val="4"/>
        </w:numPr>
        <w:ind w:left="823" w:right="70" w:hanging="362"/>
      </w:pPr>
      <w:r>
        <w:t>Academic dishonesty is unacceptable and will not be tol</w:t>
      </w:r>
      <w:r>
        <w:t>erated. Cheating</w:t>
      </w:r>
      <w:r w:rsidR="00345942">
        <w:t xml:space="preserve"> </w:t>
      </w:r>
      <w:r w:rsidR="001C0030">
        <w:t>and</w:t>
      </w:r>
      <w:r>
        <w:t xml:space="preserve"> plagiarism</w:t>
      </w:r>
      <w:r w:rsidR="001C0030">
        <w:t xml:space="preserve"> </w:t>
      </w:r>
      <w:r>
        <w:t xml:space="preserve">undermine Wagner’s educational mission and your own personal and intellectual growth. You are expected to bear individual responsibility for your work and to uphold the ideal of academic integrity. </w:t>
      </w:r>
      <w:r w:rsidR="009A1AB4">
        <w:t xml:space="preserve">Assignments submitted must reflect your own thinking, writing and </w:t>
      </w:r>
      <w:r w:rsidR="00345942">
        <w:t>understanding of the material</w:t>
      </w:r>
      <w:r w:rsidR="009A1AB4">
        <w:t xml:space="preserve">. </w:t>
      </w:r>
      <w:r>
        <w:t>Any student who compromise</w:t>
      </w:r>
      <w:r w:rsidR="00345942">
        <w:t>s</w:t>
      </w:r>
      <w:r>
        <w:t xml:space="preserve"> or devalue</w:t>
      </w:r>
      <w:r w:rsidR="00345942">
        <w:t>s</w:t>
      </w:r>
      <w:r>
        <w:t xml:space="preserve"> the academic process will be subject to disciplinary action. </w:t>
      </w:r>
    </w:p>
    <w:p w14:paraId="6F0AF3E4" w14:textId="43CD3AE8" w:rsidR="005350C6" w:rsidRDefault="005350C6" w:rsidP="00B76033">
      <w:pPr>
        <w:ind w:left="0" w:right="70" w:firstLine="0"/>
      </w:pPr>
    </w:p>
    <w:p w14:paraId="52DCC81B" w14:textId="33DE2B27" w:rsidR="005350C6" w:rsidRDefault="005350C6" w:rsidP="0088328D">
      <w:pPr>
        <w:numPr>
          <w:ilvl w:val="0"/>
          <w:numId w:val="4"/>
        </w:numPr>
        <w:ind w:left="823" w:right="70" w:hanging="362"/>
      </w:pPr>
      <w:r>
        <w:t xml:space="preserve">Attendance </w:t>
      </w:r>
      <w:r w:rsidR="009A1AB4">
        <w:t>at</w:t>
      </w:r>
      <w:r w:rsidR="00345942">
        <w:t>,</w:t>
      </w:r>
      <w:r w:rsidR="009A1AB4">
        <w:t xml:space="preserve"> and participation in</w:t>
      </w:r>
      <w:r w:rsidR="00345942">
        <w:t>,</w:t>
      </w:r>
      <w:r w:rsidR="009A1AB4">
        <w:t xml:space="preserve"> class sessions is required. Points will be deducted from the final grade for each unexcused absence. Students are required to notify the professor in advance of all absences, including the reason for the absence. Students are expected to actively participate in class discussions, including asking and answering questions and sharing</w:t>
      </w:r>
      <w:r w:rsidR="001C0030">
        <w:t xml:space="preserve"> knowledge,</w:t>
      </w:r>
      <w:r w:rsidR="009A1AB4">
        <w:t xml:space="preserve"> opinions and experiences related to the content of the cla</w:t>
      </w:r>
      <w:r w:rsidR="00117DAC">
        <w:t>ss sessions</w:t>
      </w:r>
      <w:r w:rsidR="0088328D">
        <w:t>.</w:t>
      </w:r>
    </w:p>
    <w:p w14:paraId="664354C0" w14:textId="77777777" w:rsidR="005350C6" w:rsidRDefault="005350C6" w:rsidP="005350C6">
      <w:pPr>
        <w:pStyle w:val="ListParagraph"/>
      </w:pPr>
    </w:p>
    <w:p w14:paraId="4B7D48CB" w14:textId="140E5F3F" w:rsidR="00AC2285" w:rsidRDefault="006D32D0" w:rsidP="0088328D">
      <w:pPr>
        <w:ind w:right="70"/>
      </w:pPr>
      <w:r>
        <w:br w:type="page"/>
      </w:r>
      <w:r>
        <w:lastRenderedPageBreak/>
        <w:t xml:space="preserve">COURSE OUTLINE </w:t>
      </w:r>
    </w:p>
    <w:p w14:paraId="2A27FDCB" w14:textId="77777777" w:rsidR="00301EDA" w:rsidRDefault="006D32D0" w:rsidP="00301EDA">
      <w:pPr>
        <w:ind w:left="95" w:right="70"/>
      </w:pPr>
      <w:r>
        <w:rPr>
          <w:b/>
        </w:rPr>
        <w:t xml:space="preserve">NOTE: </w:t>
      </w:r>
      <w:r>
        <w:t xml:space="preserve">It is assumed that students know how to read financial statements and are familiar with basic financial terms. </w:t>
      </w:r>
      <w:r w:rsidR="009A6980">
        <w:t>T</w:t>
      </w:r>
      <w:r>
        <w:t>hese skills should have been acquired in CORE-GP.1021. You will not be tested on financial accounting concepts. If you wish to review these conc</w:t>
      </w:r>
      <w:r>
        <w:t>epts, you should read Reiter and Song Chapters 3 and 4.</w:t>
      </w:r>
    </w:p>
    <w:p w14:paraId="43740547" w14:textId="77777777" w:rsidR="00301EDA" w:rsidRDefault="00301EDA" w:rsidP="00301EDA">
      <w:pPr>
        <w:ind w:left="95" w:right="70"/>
      </w:pPr>
    </w:p>
    <w:p w14:paraId="0AD30450" w14:textId="55F7D724" w:rsidR="00AC2285" w:rsidRDefault="006D32D0" w:rsidP="00301EDA">
      <w:pPr>
        <w:ind w:left="95" w:right="70"/>
      </w:pPr>
      <w:r>
        <w:t xml:space="preserve">Each class has a PowerPoint. These are not intended to substitute for reading, but to highlight the most important concepts. Students should </w:t>
      </w:r>
      <w:r w:rsidR="000F7435">
        <w:t>complete the assigned readings</w:t>
      </w:r>
      <w:r>
        <w:t xml:space="preserve"> and review the PowerPoint</w:t>
      </w:r>
      <w:r>
        <w:t>s in advance of class. We will not review every slide in class.</w:t>
      </w:r>
    </w:p>
    <w:p w14:paraId="200564EF" w14:textId="77777777" w:rsidR="00301EDA" w:rsidRDefault="00301EDA" w:rsidP="00301EDA">
      <w:pPr>
        <w:ind w:left="95" w:right="70"/>
      </w:pPr>
    </w:p>
    <w:p w14:paraId="5C59334C" w14:textId="7FD8D737" w:rsidR="00AC2285" w:rsidRDefault="006D32D0">
      <w:pPr>
        <w:pStyle w:val="Heading1"/>
        <w:ind w:left="95"/>
      </w:pPr>
      <w:r>
        <w:t xml:space="preserve">Class 1: </w:t>
      </w:r>
      <w:r w:rsidR="00F03183">
        <w:t>Introduction to</w:t>
      </w:r>
      <w:r w:rsidR="00AB7DD4">
        <w:t xml:space="preserve"> </w:t>
      </w:r>
      <w:r w:rsidR="00F03183">
        <w:t>Health Insurance</w:t>
      </w:r>
    </w:p>
    <w:p w14:paraId="6511DA53" w14:textId="396C4088" w:rsidR="00AC2285" w:rsidRDefault="006D32D0">
      <w:pPr>
        <w:ind w:left="95" w:right="70"/>
      </w:pPr>
      <w:r>
        <w:t xml:space="preserve">We will </w:t>
      </w:r>
      <w:r w:rsidR="00D61C82">
        <w:t xml:space="preserve">discuss </w:t>
      </w:r>
      <w:r w:rsidR="000F108E">
        <w:t xml:space="preserve">the </w:t>
      </w:r>
      <w:r w:rsidR="00AA7558">
        <w:t xml:space="preserve">basic principles of </w:t>
      </w:r>
      <w:r>
        <w:t>healt</w:t>
      </w:r>
      <w:r w:rsidR="00AA7558">
        <w:t>h</w:t>
      </w:r>
      <w:r>
        <w:t xml:space="preserve"> insuranc</w:t>
      </w:r>
      <w:r w:rsidR="00AA7558">
        <w:t>e</w:t>
      </w:r>
      <w:r w:rsidR="00C36E37">
        <w:t>, the private and public health insurance</w:t>
      </w:r>
      <w:r w:rsidR="00D61C82">
        <w:t xml:space="preserve"> </w:t>
      </w:r>
      <w:r w:rsidR="00C36E37">
        <w:t>market</w:t>
      </w:r>
      <w:r w:rsidR="004B29A8">
        <w:t>,</w:t>
      </w:r>
      <w:r w:rsidR="00C36E37">
        <w:t xml:space="preserve"> </w:t>
      </w:r>
      <w:r>
        <w:t>and</w:t>
      </w:r>
      <w:r w:rsidR="00A26487">
        <w:t xml:space="preserve"> </w:t>
      </w:r>
      <w:r w:rsidR="00C36E37">
        <w:t xml:space="preserve">how the Affordable Care Act of 2010 </w:t>
      </w:r>
      <w:r w:rsidR="004B29A8">
        <w:t xml:space="preserve">(ACA) </w:t>
      </w:r>
      <w:r w:rsidR="00C36E37">
        <w:t>reformed both private and public health insurance.</w:t>
      </w:r>
    </w:p>
    <w:p w14:paraId="78F19BAF" w14:textId="77777777" w:rsidR="00AC2285" w:rsidRDefault="006D32D0">
      <w:pPr>
        <w:spacing w:after="0" w:line="259" w:lineRule="auto"/>
        <w:ind w:left="0" w:firstLine="0"/>
      </w:pPr>
      <w:r>
        <w:rPr>
          <w:sz w:val="23"/>
        </w:rPr>
        <w:t xml:space="preserve"> </w:t>
      </w:r>
    </w:p>
    <w:p w14:paraId="678ACDCA" w14:textId="4D8DAD84" w:rsidR="004B29A8" w:rsidRDefault="006D32D0" w:rsidP="00C36E37">
      <w:pPr>
        <w:ind w:left="95" w:right="70"/>
      </w:pPr>
      <w:r>
        <w:t xml:space="preserve">Read before class: Reiter and Song, </w:t>
      </w:r>
      <w:r w:rsidR="00F03183">
        <w:t>Chapter</w:t>
      </w:r>
      <w:r>
        <w:t xml:space="preserve"> 2</w:t>
      </w:r>
      <w:r w:rsidR="00C36E37">
        <w:t>, pp. 37-50</w:t>
      </w:r>
      <w:r w:rsidR="004B29A8">
        <w:t>.</w:t>
      </w:r>
    </w:p>
    <w:p w14:paraId="67EE7A3D" w14:textId="55C2D9B4" w:rsidR="00AC2285" w:rsidRPr="00C36E37" w:rsidRDefault="00F50DBF" w:rsidP="00C36E37">
      <w:pPr>
        <w:ind w:left="95" w:right="70"/>
        <w:rPr>
          <w:color w:val="000000" w:themeColor="text1"/>
        </w:rPr>
      </w:pPr>
      <w:r w:rsidRPr="00F50DBF">
        <w:rPr>
          <w:color w:val="000000" w:themeColor="text1"/>
        </w:rPr>
        <w:t xml:space="preserve">Read before class: </w:t>
      </w:r>
      <w:r w:rsidR="005751B4">
        <w:rPr>
          <w:color w:val="000000" w:themeColor="text1"/>
        </w:rPr>
        <w:t>Garfield, R., et</w:t>
      </w:r>
      <w:r w:rsidR="008E25D3">
        <w:rPr>
          <w:color w:val="000000" w:themeColor="text1"/>
        </w:rPr>
        <w:t xml:space="preserve"> </w:t>
      </w:r>
      <w:r w:rsidR="005751B4">
        <w:rPr>
          <w:color w:val="000000" w:themeColor="text1"/>
        </w:rPr>
        <w:t>al</w:t>
      </w:r>
      <w:r w:rsidR="008E25D3">
        <w:rPr>
          <w:color w:val="000000" w:themeColor="text1"/>
        </w:rPr>
        <w:t>.</w:t>
      </w:r>
      <w:r w:rsidR="005751B4">
        <w:rPr>
          <w:color w:val="000000" w:themeColor="text1"/>
        </w:rPr>
        <w:t xml:space="preserve"> (Jan 25, 2019). The Uninsured and the ACA: A Primer – Key Facts about Health Insurance and the Uninsured amidst Changes to the Affordable Care Act. Kaiser Family Foundation</w:t>
      </w:r>
      <w:r w:rsidR="007E0276">
        <w:rPr>
          <w:color w:val="000000" w:themeColor="text1"/>
        </w:rPr>
        <w:t xml:space="preserve"> (pp. 1-19)</w:t>
      </w:r>
      <w:r w:rsidR="008E25D3">
        <w:rPr>
          <w:color w:val="000000" w:themeColor="text1"/>
        </w:rPr>
        <w:t>.</w:t>
      </w:r>
      <w:r w:rsidR="005751B4">
        <w:rPr>
          <w:color w:val="000000" w:themeColor="text1"/>
        </w:rPr>
        <w:t xml:space="preserve"> </w:t>
      </w:r>
      <w:hyperlink r:id="rId8" w:history="1">
        <w:r w:rsidR="005751B4" w:rsidRPr="005751B4">
          <w:rPr>
            <w:rStyle w:val="Hyperlink"/>
          </w:rPr>
          <w:t>https://www.kff.org/uninsured/report/the-uninsured-and-the-aca-a-primer-key-facts-about-health-insurance-and-the-uninsured-amidst-changes-to-the-affordable-care-act/</w:t>
        </w:r>
      </w:hyperlink>
    </w:p>
    <w:p w14:paraId="42D46521" w14:textId="3F1A9365" w:rsidR="00AC2285" w:rsidRDefault="006D32D0">
      <w:pPr>
        <w:ind w:left="95" w:right="70"/>
      </w:pPr>
      <w:r>
        <w:t xml:space="preserve">(Optional: </w:t>
      </w:r>
      <w:r w:rsidR="007E0276">
        <w:t xml:space="preserve">Reiter and Song </w:t>
      </w:r>
      <w:r>
        <w:t>Chapters 3 and 4</w:t>
      </w:r>
      <w:r w:rsidR="007E0276">
        <w:t xml:space="preserve"> if you want a refresher on financial statements</w:t>
      </w:r>
      <w:r>
        <w:t xml:space="preserve">) </w:t>
      </w:r>
    </w:p>
    <w:p w14:paraId="7D87E455" w14:textId="730F37E5" w:rsidR="00F50DBF" w:rsidRPr="00AB7DD4" w:rsidRDefault="00916DB4" w:rsidP="00F50DBF">
      <w:pPr>
        <w:ind w:left="95" w:right="70"/>
      </w:pPr>
      <w:r>
        <w:t xml:space="preserve">Due before </w:t>
      </w:r>
      <w:r w:rsidR="00F50DBF">
        <w:t>C</w:t>
      </w:r>
      <w:r>
        <w:t>lass</w:t>
      </w:r>
      <w:r w:rsidR="00F50DBF">
        <w:t xml:space="preserve"> 3</w:t>
      </w:r>
      <w:r>
        <w:t xml:space="preserve">: </w:t>
      </w:r>
      <w:r w:rsidR="00F50DBF">
        <w:t xml:space="preserve">Meet with the leadership of your health care institution to discuss the selection of the Health Care Financial Improvement Case Study. Please reach out to the professor </w:t>
      </w:r>
      <w:r w:rsidR="00752804">
        <w:t xml:space="preserve">prior to Class 3 </w:t>
      </w:r>
      <w:r w:rsidR="00F50DBF">
        <w:t xml:space="preserve">to schedule a Zoom meeting to discuss potential </w:t>
      </w:r>
      <w:r w:rsidR="00752804">
        <w:t>Case Study topics</w:t>
      </w:r>
      <w:r w:rsidR="00F50DBF">
        <w:t>.</w:t>
      </w:r>
    </w:p>
    <w:p w14:paraId="7BB838C4" w14:textId="77777777" w:rsidR="00AB7DD4" w:rsidRDefault="00AB7DD4" w:rsidP="00F50DBF">
      <w:pPr>
        <w:ind w:left="0" w:right="70" w:firstLine="0"/>
      </w:pPr>
    </w:p>
    <w:p w14:paraId="3206D1FA" w14:textId="6DCFA168" w:rsidR="00AB7DD4" w:rsidRDefault="00AB7DD4" w:rsidP="00BA4438">
      <w:pPr>
        <w:ind w:left="95" w:right="70"/>
        <w:rPr>
          <w:b/>
          <w:bCs/>
        </w:rPr>
      </w:pPr>
      <w:r w:rsidRPr="00AB7DD4">
        <w:rPr>
          <w:b/>
          <w:bCs/>
        </w:rPr>
        <w:t>Class 2:</w:t>
      </w:r>
      <w:r>
        <w:t xml:space="preserve"> </w:t>
      </w:r>
      <w:r w:rsidR="00C36E37">
        <w:rPr>
          <w:b/>
          <w:bCs/>
        </w:rPr>
        <w:t>Introduction to Health Care Reimbursement</w:t>
      </w:r>
    </w:p>
    <w:p w14:paraId="6F9899BC" w14:textId="5C60BE94" w:rsidR="00AB7DD4" w:rsidRDefault="00AB7DD4" w:rsidP="004B29A8">
      <w:pPr>
        <w:ind w:left="95" w:right="70"/>
      </w:pPr>
      <w:r>
        <w:t xml:space="preserve">We will </w:t>
      </w:r>
      <w:r w:rsidR="00C36E37">
        <w:t xml:space="preserve">discuss the </w:t>
      </w:r>
      <w:r w:rsidR="004B29A8">
        <w:t xml:space="preserve">most common </w:t>
      </w:r>
      <w:r w:rsidR="00C36E37">
        <w:t xml:space="preserve">methodologies used by </w:t>
      </w:r>
      <w:r w:rsidR="004B29A8">
        <w:t xml:space="preserve">Medicare and other payers to reimburse hospitals and physicians, and </w:t>
      </w:r>
      <w:r>
        <w:t xml:space="preserve">how the ACA </w:t>
      </w:r>
      <w:r w:rsidR="004B29A8">
        <w:t xml:space="preserve">accelerated the </w:t>
      </w:r>
      <w:r w:rsidR="00676F04">
        <w:t>transform</w:t>
      </w:r>
      <w:r w:rsidR="004B29A8">
        <w:t>ation of</w:t>
      </w:r>
      <w:r w:rsidR="00306FF9">
        <w:t xml:space="preserve"> </w:t>
      </w:r>
      <w:r w:rsidR="004B29A8">
        <w:t xml:space="preserve">health care </w:t>
      </w:r>
      <w:r w:rsidR="00306FF9">
        <w:t>payment</w:t>
      </w:r>
      <w:r>
        <w:t xml:space="preserve"> </w:t>
      </w:r>
      <w:r w:rsidR="00676F04">
        <w:t>from fee-for-service to value based payment</w:t>
      </w:r>
      <w:r>
        <w:t xml:space="preserve">. </w:t>
      </w:r>
      <w:r w:rsidR="004B29A8">
        <w:t>We will consider</w:t>
      </w:r>
      <w:r w:rsidR="00C36E37">
        <w:t xml:space="preserve"> how different reimbursement </w:t>
      </w:r>
      <w:r w:rsidR="004B29A8">
        <w:t>methodologies</w:t>
      </w:r>
      <w:r w:rsidR="00C36E37">
        <w:t xml:space="preserve"> influence provider incentives.</w:t>
      </w:r>
    </w:p>
    <w:p w14:paraId="48A57839" w14:textId="77777777" w:rsidR="00E7678D" w:rsidRDefault="00E7678D" w:rsidP="00BA4438">
      <w:pPr>
        <w:ind w:left="95" w:right="70"/>
      </w:pPr>
    </w:p>
    <w:p w14:paraId="63B3FD7D" w14:textId="5AFEDC64" w:rsidR="00B11B3F" w:rsidRDefault="00E7678D" w:rsidP="001156F7">
      <w:pPr>
        <w:ind w:left="95" w:right="70"/>
      </w:pPr>
      <w:r>
        <w:t>Read before class: Reiter and Song, Chapter 1, pp. 24-29</w:t>
      </w:r>
      <w:r w:rsidR="00C36E37">
        <w:t>; Chapter 2 pp. 50</w:t>
      </w:r>
      <w:r w:rsidR="004B29A8">
        <w:t>-6</w:t>
      </w:r>
      <w:r w:rsidR="00F50DBF">
        <w:t>3</w:t>
      </w:r>
      <w:r w:rsidR="00575593">
        <w:t>.</w:t>
      </w:r>
    </w:p>
    <w:p w14:paraId="1C21C129" w14:textId="0D52AEB6" w:rsidR="001156F7" w:rsidRDefault="004B29A8" w:rsidP="001156F7">
      <w:pPr>
        <w:ind w:left="95" w:right="70"/>
        <w:rPr>
          <w:rStyle w:val="Hyperlink"/>
        </w:rPr>
      </w:pPr>
      <w:r>
        <w:t xml:space="preserve">Read before class: </w:t>
      </w:r>
      <w:r w:rsidR="00B11B3F">
        <w:t>Abrams M.K, et</w:t>
      </w:r>
      <w:r w:rsidR="008E25D3">
        <w:t xml:space="preserve"> </w:t>
      </w:r>
      <w:r w:rsidR="00B11B3F">
        <w:t>al</w:t>
      </w:r>
      <w:r w:rsidR="008E25D3">
        <w:t>.</w:t>
      </w:r>
      <w:r w:rsidR="00B11B3F">
        <w:t xml:space="preserve"> </w:t>
      </w:r>
      <w:r w:rsidR="007E0276">
        <w:t xml:space="preserve">(May 7, 2015) </w:t>
      </w:r>
      <w:r w:rsidR="001156F7">
        <w:t>The Affordable Care Act’s Payment and Delivery System Reforms:</w:t>
      </w:r>
      <w:r w:rsidR="00B11B3F">
        <w:t xml:space="preserve"> A Progress Report at Five Years</w:t>
      </w:r>
      <w:r w:rsidR="007E0276">
        <w:t>.</w:t>
      </w:r>
      <w:r w:rsidR="00B11B3F">
        <w:t xml:space="preserve"> The Commonwealth Fund</w:t>
      </w:r>
      <w:r w:rsidR="008E25D3">
        <w:t>.</w:t>
      </w:r>
      <w:r w:rsidR="00B11B3F">
        <w:t xml:space="preserve"> </w:t>
      </w:r>
      <w:hyperlink r:id="rId9" w:history="1">
        <w:r w:rsidR="00B11B3F" w:rsidRPr="00B11B3F">
          <w:rPr>
            <w:rStyle w:val="Hyperlink"/>
          </w:rPr>
          <w:t>https://www.commonwealthfund.org/publications/issue-briefs/2015/may/affordable-care-acts-payment-and-delivery-system-reforms</w:t>
        </w:r>
      </w:hyperlink>
    </w:p>
    <w:p w14:paraId="17F11E0E" w14:textId="2F96DA7B" w:rsidR="00BA4438" w:rsidRDefault="009862CD" w:rsidP="00F50DBF">
      <w:pPr>
        <w:ind w:left="0" w:right="70" w:firstLine="0"/>
      </w:pPr>
      <w:r>
        <w:t xml:space="preserve">  </w:t>
      </w:r>
      <w:r w:rsidR="006F7F00">
        <w:t xml:space="preserve">Assignment #1: </w:t>
      </w:r>
      <w:r>
        <w:t>Introduction to Health Care Reimbursement - Problems 1-3</w:t>
      </w:r>
    </w:p>
    <w:p w14:paraId="15BC204A" w14:textId="77777777" w:rsidR="009862CD" w:rsidRDefault="009862CD" w:rsidP="00F50DBF">
      <w:pPr>
        <w:ind w:left="0" w:right="70" w:firstLine="0"/>
      </w:pPr>
    </w:p>
    <w:p w14:paraId="49FA9D6F" w14:textId="1185741B" w:rsidR="00F03183" w:rsidRDefault="006D32D0">
      <w:pPr>
        <w:pStyle w:val="Heading1"/>
        <w:ind w:left="95"/>
      </w:pPr>
      <w:r>
        <w:t xml:space="preserve">Class </w:t>
      </w:r>
      <w:r w:rsidR="00AB7DD4">
        <w:t>3</w:t>
      </w:r>
      <w:r>
        <w:t xml:space="preserve">: </w:t>
      </w:r>
      <w:r w:rsidR="00F03183">
        <w:t>Cost Behavior and Profit Analysis at the Organizational Level</w:t>
      </w:r>
    </w:p>
    <w:p w14:paraId="5DB1C510" w14:textId="69FD78B5" w:rsidR="00F03183" w:rsidRDefault="00F03183" w:rsidP="007E0276">
      <w:pPr>
        <w:rPr>
          <w:lang w:bidi="ar-SA"/>
        </w:rPr>
      </w:pPr>
      <w:r w:rsidRPr="00F03183">
        <w:rPr>
          <w:lang w:bidi="ar-SA"/>
        </w:rPr>
        <w:t>We will build off the breakeven analysis concepts students learned in 1021 and apply them specifically to health care organizations, with special attention paid to the effects of multiple products/services, discounted fee-for-services, and capitation have on the analysis. We will also discuss cost classifications.</w:t>
      </w:r>
    </w:p>
    <w:p w14:paraId="7D142814" w14:textId="667CB2C5" w:rsidR="00F03183" w:rsidRDefault="00F03183" w:rsidP="00F03183">
      <w:pPr>
        <w:rPr>
          <w:lang w:bidi="ar-SA"/>
        </w:rPr>
      </w:pPr>
      <w:r>
        <w:rPr>
          <w:lang w:bidi="ar-SA"/>
        </w:rPr>
        <w:t>Read before class: Reiter and Song, Chapter 5</w:t>
      </w:r>
    </w:p>
    <w:p w14:paraId="1903AB6C" w14:textId="7B3BC25A" w:rsidR="00F03183" w:rsidRPr="00F03183" w:rsidRDefault="00F03183" w:rsidP="00F03183">
      <w:pPr>
        <w:ind w:left="95" w:right="70"/>
      </w:pPr>
      <w:r>
        <w:t>Assignment #</w:t>
      </w:r>
      <w:r w:rsidR="009862CD">
        <w:t>2</w:t>
      </w:r>
      <w:r>
        <w:t xml:space="preserve">: </w:t>
      </w:r>
      <w:r w:rsidR="00875D1C">
        <w:t xml:space="preserve">Questions: 5.8, 5.9 </w:t>
      </w:r>
      <w:r w:rsidR="00E65CF3">
        <w:t xml:space="preserve">Problems: </w:t>
      </w:r>
      <w:r>
        <w:t>5.4, 5.8 (on pages 20</w:t>
      </w:r>
      <w:r w:rsidR="00875D1C">
        <w:t>0</w:t>
      </w:r>
      <w:r>
        <w:t xml:space="preserve">-203). </w:t>
      </w:r>
    </w:p>
    <w:p w14:paraId="75D1C7C0" w14:textId="1519F602" w:rsidR="00306FF9" w:rsidRDefault="00306FF9" w:rsidP="00306FF9">
      <w:pPr>
        <w:ind w:left="95" w:right="70"/>
      </w:pPr>
      <w:r>
        <w:lastRenderedPageBreak/>
        <w:t xml:space="preserve">Due: </w:t>
      </w:r>
      <w:r w:rsidR="00E7678D">
        <w:rPr>
          <w:rFonts w:eastAsia="Calibri"/>
        </w:rPr>
        <w:t xml:space="preserve">submit a brief description of </w:t>
      </w:r>
      <w:r w:rsidR="00A26487">
        <w:rPr>
          <w:rFonts w:eastAsia="Calibri"/>
        </w:rPr>
        <w:t xml:space="preserve">the topic for </w:t>
      </w:r>
      <w:r w:rsidRPr="001D5495">
        <w:rPr>
          <w:rFonts w:eastAsia="Calibri"/>
        </w:rPr>
        <w:t xml:space="preserve">the </w:t>
      </w:r>
      <w:r w:rsidR="00F50DBF">
        <w:rPr>
          <w:rFonts w:eastAsia="Calibri"/>
        </w:rPr>
        <w:t>H</w:t>
      </w:r>
      <w:r>
        <w:rPr>
          <w:rFonts w:eastAsia="Calibri"/>
        </w:rPr>
        <w:t xml:space="preserve">ealthcare </w:t>
      </w:r>
      <w:r w:rsidR="00F50DBF">
        <w:rPr>
          <w:rFonts w:eastAsia="Calibri"/>
        </w:rPr>
        <w:t>F</w:t>
      </w:r>
      <w:r>
        <w:rPr>
          <w:rFonts w:eastAsia="Calibri"/>
        </w:rPr>
        <w:t xml:space="preserve">inancial </w:t>
      </w:r>
      <w:r w:rsidR="00F50DBF">
        <w:rPr>
          <w:rFonts w:eastAsia="Calibri"/>
        </w:rPr>
        <w:t>I</w:t>
      </w:r>
      <w:r>
        <w:rPr>
          <w:rFonts w:eastAsia="Calibri"/>
        </w:rPr>
        <w:t xml:space="preserve">mprovement </w:t>
      </w:r>
      <w:r w:rsidR="00F50DBF">
        <w:rPr>
          <w:rFonts w:eastAsia="Calibri"/>
        </w:rPr>
        <w:t>C</w:t>
      </w:r>
      <w:r>
        <w:rPr>
          <w:rFonts w:eastAsia="Calibri"/>
        </w:rPr>
        <w:t xml:space="preserve">ase </w:t>
      </w:r>
      <w:r w:rsidR="00F50DBF">
        <w:rPr>
          <w:rFonts w:eastAsia="Calibri"/>
        </w:rPr>
        <w:t>S</w:t>
      </w:r>
      <w:r>
        <w:rPr>
          <w:rFonts w:eastAsia="Calibri"/>
        </w:rPr>
        <w:t>tudy</w:t>
      </w:r>
      <w:r w:rsidRPr="001D5495">
        <w:rPr>
          <w:rFonts w:eastAsia="Calibri"/>
        </w:rPr>
        <w:t xml:space="preserve"> </w:t>
      </w:r>
      <w:r w:rsidR="00A26487">
        <w:rPr>
          <w:rFonts w:eastAsia="Calibri"/>
        </w:rPr>
        <w:t>through Brightspace.</w:t>
      </w:r>
    </w:p>
    <w:p w14:paraId="1297BCAD" w14:textId="6E854AE9" w:rsidR="00F03183" w:rsidRPr="009862CD" w:rsidRDefault="009862CD">
      <w:pPr>
        <w:pStyle w:val="Heading1"/>
        <w:ind w:left="95"/>
        <w:rPr>
          <w:b w:val="0"/>
          <w:bCs/>
        </w:rPr>
      </w:pPr>
      <w:r w:rsidRPr="009862CD">
        <w:rPr>
          <w:b w:val="0"/>
          <w:bCs/>
        </w:rPr>
        <w:t>Due: Assignment #1</w:t>
      </w:r>
    </w:p>
    <w:p w14:paraId="41BC2A0E" w14:textId="77777777" w:rsidR="009862CD" w:rsidRPr="009862CD" w:rsidRDefault="009862CD" w:rsidP="009862CD">
      <w:pPr>
        <w:rPr>
          <w:lang w:bidi="ar-SA"/>
        </w:rPr>
      </w:pPr>
    </w:p>
    <w:p w14:paraId="474FB89F" w14:textId="34507BCA" w:rsidR="00AC2285" w:rsidRDefault="00F03183">
      <w:pPr>
        <w:pStyle w:val="Heading1"/>
        <w:ind w:left="95"/>
      </w:pPr>
      <w:r>
        <w:t xml:space="preserve">Class </w:t>
      </w:r>
      <w:r w:rsidR="00306FF9">
        <w:t>4</w:t>
      </w:r>
      <w:r>
        <w:t xml:space="preserve">: Departmental Cost </w:t>
      </w:r>
      <w:r w:rsidR="00306FF9">
        <w:t>Allocation</w:t>
      </w:r>
      <w:r w:rsidR="00AB7DD4">
        <w:t xml:space="preserve"> and Service </w:t>
      </w:r>
      <w:r w:rsidR="00306FF9">
        <w:t xml:space="preserve">Line Costing and </w:t>
      </w:r>
      <w:r w:rsidR="00AB7DD4">
        <w:t>Pricing</w:t>
      </w:r>
    </w:p>
    <w:p w14:paraId="586A83CD" w14:textId="58EC3B22" w:rsidR="00AC2285" w:rsidRDefault="006D32D0">
      <w:pPr>
        <w:spacing w:after="1" w:line="239" w:lineRule="auto"/>
        <w:ind w:left="95" w:right="349"/>
        <w:jc w:val="both"/>
      </w:pPr>
      <w:r>
        <w:t xml:space="preserve">We will discuss </w:t>
      </w:r>
      <w:r w:rsidR="00306FF9">
        <w:t>the departmental</w:t>
      </w:r>
      <w:r>
        <w:t xml:space="preserve"> cost allocation </w:t>
      </w:r>
      <w:r w:rsidR="00306FF9">
        <w:t>process</w:t>
      </w:r>
      <w:r>
        <w:t xml:space="preserve">, with special attention to why cost allocation is essential for health care organizations. </w:t>
      </w:r>
      <w:r w:rsidR="00306FF9">
        <w:t xml:space="preserve">We will also review how health care organizations </w:t>
      </w:r>
      <w:r w:rsidR="00C820B3">
        <w:t xml:space="preserve">determine </w:t>
      </w:r>
      <w:r w:rsidR="00306FF9">
        <w:t>cost</w:t>
      </w:r>
      <w:r w:rsidR="00C820B3">
        <w:t>s for</w:t>
      </w:r>
      <w:r w:rsidR="00306FF9">
        <w:t xml:space="preserve"> individual services</w:t>
      </w:r>
      <w:r w:rsidR="00A85787">
        <w:t xml:space="preserve"> </w:t>
      </w:r>
      <w:r w:rsidR="00306FF9">
        <w:t>and review methods providers use to determine prices for these services.</w:t>
      </w:r>
    </w:p>
    <w:p w14:paraId="094F39BA" w14:textId="77777777" w:rsidR="00AC2285" w:rsidRDefault="006D32D0">
      <w:pPr>
        <w:spacing w:after="0" w:line="259" w:lineRule="auto"/>
        <w:ind w:left="0" w:firstLine="0"/>
      </w:pPr>
      <w:r>
        <w:rPr>
          <w:sz w:val="23"/>
        </w:rPr>
        <w:t xml:space="preserve"> </w:t>
      </w:r>
    </w:p>
    <w:p w14:paraId="754B0EB0" w14:textId="42E1ED56" w:rsidR="002D0773" w:rsidRPr="00C820B3" w:rsidRDefault="006D32D0">
      <w:pPr>
        <w:spacing w:after="1" w:line="239" w:lineRule="auto"/>
        <w:ind w:left="95" w:right="1801"/>
        <w:jc w:val="both"/>
      </w:pPr>
      <w:r w:rsidRPr="00C820B3">
        <w:t>Read before class: Reiter and Song, Chapter 6</w:t>
      </w:r>
      <w:r w:rsidR="00575593" w:rsidRPr="00C820B3">
        <w:t>.</w:t>
      </w:r>
      <w:r w:rsidR="0099663D" w:rsidRPr="00C820B3">
        <w:t xml:space="preserve"> pp. 213-232 &amp; 235-236; Chapter 7, pp. 249-25</w:t>
      </w:r>
      <w:r w:rsidR="00631ADA">
        <w:t>5</w:t>
      </w:r>
      <w:r w:rsidR="0099663D" w:rsidRPr="00C820B3">
        <w:t xml:space="preserve"> &amp; 260-271.</w:t>
      </w:r>
    </w:p>
    <w:p w14:paraId="1B24FD7A" w14:textId="121FEC45" w:rsidR="00301EDA" w:rsidRPr="00C820B3" w:rsidRDefault="006D32D0" w:rsidP="00301EDA">
      <w:pPr>
        <w:ind w:left="95" w:right="70"/>
      </w:pPr>
      <w:r w:rsidRPr="00C820B3">
        <w:t>Assignment #</w:t>
      </w:r>
      <w:r w:rsidR="009862CD">
        <w:t>3</w:t>
      </w:r>
      <w:r w:rsidRPr="00C820B3">
        <w:t xml:space="preserve">: </w:t>
      </w:r>
      <w:r w:rsidR="00875D1C" w:rsidRPr="00C820B3">
        <w:t>Question</w:t>
      </w:r>
      <w:r w:rsidR="00C820B3">
        <w:t>s</w:t>
      </w:r>
      <w:r w:rsidR="00875D1C" w:rsidRPr="00C820B3">
        <w:t xml:space="preserve">: </w:t>
      </w:r>
      <w:r w:rsidR="005B4A14" w:rsidRPr="00C820B3">
        <w:t xml:space="preserve">6.1, </w:t>
      </w:r>
      <w:r w:rsidR="00875D1C" w:rsidRPr="00C820B3">
        <w:t>6.2</w:t>
      </w:r>
      <w:r w:rsidR="00782B3C" w:rsidRPr="00C820B3">
        <w:t xml:space="preserve"> Problems: 6.3</w:t>
      </w:r>
      <w:r w:rsidR="00F25BB9">
        <w:t>a</w:t>
      </w:r>
      <w:r w:rsidR="00782B3C" w:rsidRPr="00C820B3">
        <w:t xml:space="preserve">, </w:t>
      </w:r>
      <w:r w:rsidR="00F25BB9">
        <w:t>6.3b</w:t>
      </w:r>
      <w:r w:rsidR="007253C9">
        <w:t xml:space="preserve"> </w:t>
      </w:r>
      <w:r w:rsidRPr="00C820B3">
        <w:t>(on pages 2</w:t>
      </w:r>
      <w:r w:rsidR="005B4A14" w:rsidRPr="00C820B3">
        <w:t>38</w:t>
      </w:r>
      <w:r w:rsidRPr="00C820B3">
        <w:t>-24</w:t>
      </w:r>
      <w:r w:rsidR="00C820B3" w:rsidRPr="00C820B3">
        <w:t>0</w:t>
      </w:r>
      <w:r w:rsidRPr="00C820B3">
        <w:t>)</w:t>
      </w:r>
      <w:r w:rsidR="0099663D" w:rsidRPr="00C820B3">
        <w:t>; Questions: 7</w:t>
      </w:r>
      <w:r w:rsidR="00C820B3" w:rsidRPr="00C820B3">
        <w:t>.1</w:t>
      </w:r>
      <w:r w:rsidR="005201CF">
        <w:t>a &amp; 7.1b</w:t>
      </w:r>
      <w:r w:rsidR="00C820B3" w:rsidRPr="00C820B3">
        <w:t>,</w:t>
      </w:r>
      <w:r w:rsidR="005201CF">
        <w:t xml:space="preserve"> </w:t>
      </w:r>
      <w:r w:rsidR="00C820B3" w:rsidRPr="00C820B3">
        <w:t>7.3</w:t>
      </w:r>
      <w:r w:rsidR="0099663D" w:rsidRPr="00C820B3">
        <w:t xml:space="preserve"> Problems: 7.2</w:t>
      </w:r>
      <w:r w:rsidR="00C968AA">
        <w:t>a</w:t>
      </w:r>
      <w:r w:rsidR="00F25BB9">
        <w:t xml:space="preserve">, </w:t>
      </w:r>
      <w:r w:rsidR="0099663D" w:rsidRPr="00C820B3">
        <w:t>7.4a (on pages 27</w:t>
      </w:r>
      <w:r w:rsidR="00C968AA">
        <w:t>3</w:t>
      </w:r>
      <w:r w:rsidR="0099663D" w:rsidRPr="00C820B3">
        <w:t>-27</w:t>
      </w:r>
      <w:r w:rsidR="00C968AA">
        <w:t>5</w:t>
      </w:r>
      <w:r w:rsidR="0099663D" w:rsidRPr="00C820B3">
        <w:t>)</w:t>
      </w:r>
    </w:p>
    <w:p w14:paraId="54011B50" w14:textId="630CF5C0" w:rsidR="00AC2285" w:rsidRDefault="0099663D" w:rsidP="00301EDA">
      <w:pPr>
        <w:ind w:left="0" w:right="70" w:firstLine="0"/>
      </w:pPr>
      <w:r w:rsidRPr="00C820B3">
        <w:t>Due: Assignment #</w:t>
      </w:r>
      <w:r w:rsidR="009862CD">
        <w:t>2</w:t>
      </w:r>
    </w:p>
    <w:p w14:paraId="033CBA85" w14:textId="77777777" w:rsidR="00301EDA" w:rsidRDefault="00301EDA" w:rsidP="00301EDA">
      <w:pPr>
        <w:ind w:left="0" w:right="70" w:firstLine="0"/>
      </w:pPr>
    </w:p>
    <w:p w14:paraId="4981A633" w14:textId="70C9F3AB" w:rsidR="00AC2285" w:rsidRDefault="006D32D0">
      <w:pPr>
        <w:pStyle w:val="Heading1"/>
        <w:ind w:left="95"/>
      </w:pPr>
      <w:r>
        <w:t xml:space="preserve">Class </w:t>
      </w:r>
      <w:r w:rsidR="002D0773">
        <w:t>5</w:t>
      </w:r>
      <w:r>
        <w:t xml:space="preserve">: </w:t>
      </w:r>
      <w:r w:rsidR="00BA4438">
        <w:t>Budgeting</w:t>
      </w:r>
      <w:r w:rsidR="00306FF9">
        <w:t xml:space="preserve">, </w:t>
      </w:r>
      <w:r>
        <w:t>Revenue Cycle Management</w:t>
      </w:r>
      <w:r w:rsidR="00306FF9">
        <w:t xml:space="preserve"> </w:t>
      </w:r>
      <w:r w:rsidR="00A26487">
        <w:t xml:space="preserve">&amp; Monitoring Organizational Financial </w:t>
      </w:r>
      <w:r w:rsidR="004C5E59">
        <w:t>Performance</w:t>
      </w:r>
    </w:p>
    <w:p w14:paraId="0DD1E013" w14:textId="59390BF9" w:rsidR="00AC2285" w:rsidRDefault="006D32D0">
      <w:pPr>
        <w:spacing w:after="1" w:line="239" w:lineRule="auto"/>
        <w:ind w:left="95" w:right="201"/>
        <w:jc w:val="both"/>
      </w:pPr>
      <w:r>
        <w:t xml:space="preserve">We will discuss </w:t>
      </w:r>
      <w:r w:rsidR="00BA4438">
        <w:t>financial planning</w:t>
      </w:r>
      <w:r w:rsidR="00AA7558">
        <w:t xml:space="preserve">, </w:t>
      </w:r>
      <w:r w:rsidR="000F7435">
        <w:t>budgeting,</w:t>
      </w:r>
      <w:r>
        <w:t xml:space="preserve"> and revenue cycle management,</w:t>
      </w:r>
      <w:r w:rsidR="00DE3A22">
        <w:t xml:space="preserve"> </w:t>
      </w:r>
      <w:r>
        <w:t>which ha</w:t>
      </w:r>
      <w:r w:rsidR="000F7435">
        <w:t>ve</w:t>
      </w:r>
      <w:r>
        <w:t xml:space="preserve"> become increasingly </w:t>
      </w:r>
      <w:r w:rsidR="00D61C82">
        <w:t>challenging</w:t>
      </w:r>
      <w:r>
        <w:t xml:space="preserve"> since the implementation of the ACA. </w:t>
      </w:r>
      <w:r w:rsidR="00306FF9">
        <w:t>We will also discuss operating indicators</w:t>
      </w:r>
      <w:r w:rsidR="00825B4C">
        <w:t xml:space="preserve"> </w:t>
      </w:r>
      <w:r w:rsidR="00306FF9">
        <w:t xml:space="preserve">and the use of dashboards to monitor </w:t>
      </w:r>
      <w:r w:rsidR="00F9329A">
        <w:t xml:space="preserve">and manage </w:t>
      </w:r>
      <w:r w:rsidR="00306FF9">
        <w:t>organization</w:t>
      </w:r>
      <w:r w:rsidR="00F9329A">
        <w:t>al</w:t>
      </w:r>
      <w:r w:rsidR="00306FF9">
        <w:t xml:space="preserve"> financial health.</w:t>
      </w:r>
    </w:p>
    <w:p w14:paraId="478E01CF" w14:textId="77777777" w:rsidR="00AC2285" w:rsidRDefault="006D32D0">
      <w:pPr>
        <w:spacing w:after="0" w:line="259" w:lineRule="auto"/>
        <w:ind w:left="0" w:firstLine="0"/>
      </w:pPr>
      <w:r>
        <w:rPr>
          <w:sz w:val="23"/>
        </w:rPr>
        <w:t xml:space="preserve"> </w:t>
      </w:r>
    </w:p>
    <w:p w14:paraId="621B6CAA" w14:textId="72ED071B" w:rsidR="00306FF9" w:rsidRDefault="006D32D0" w:rsidP="00A26487">
      <w:pPr>
        <w:ind w:left="95" w:right="70"/>
      </w:pPr>
      <w:r>
        <w:t xml:space="preserve">Read before class: Reiter and Song, </w:t>
      </w:r>
      <w:r w:rsidR="00D61C82">
        <w:t>Chapter 8, pp. 287-30</w:t>
      </w:r>
      <w:r w:rsidR="00A26487">
        <w:t>1,</w:t>
      </w:r>
      <w:r w:rsidR="00D61C82">
        <w:t xml:space="preserve"> </w:t>
      </w:r>
      <w:r>
        <w:t>Chapter 16</w:t>
      </w:r>
      <w:r w:rsidR="00D61C82">
        <w:t>, pp. 638-6</w:t>
      </w:r>
      <w:r w:rsidR="000F7435">
        <w:t>47</w:t>
      </w:r>
      <w:r w:rsidR="00306FF9">
        <w:t xml:space="preserve">, </w:t>
      </w:r>
      <w:r w:rsidR="00A26487">
        <w:t xml:space="preserve">&amp; </w:t>
      </w:r>
      <w:r w:rsidR="00306FF9">
        <w:t>Chapter 17, pp. 690-698</w:t>
      </w:r>
      <w:r w:rsidR="00C820B3">
        <w:t xml:space="preserve"> beginning with Operating Indicator Analysis</w:t>
      </w:r>
    </w:p>
    <w:p w14:paraId="2BD33B7D" w14:textId="0CAA5FB0" w:rsidR="00AC2285" w:rsidRDefault="006D32D0">
      <w:pPr>
        <w:ind w:left="95" w:right="3375"/>
      </w:pPr>
      <w:r>
        <w:t>Due: Assignment #</w:t>
      </w:r>
      <w:r w:rsidR="009862CD">
        <w:t>3</w:t>
      </w:r>
    </w:p>
    <w:p w14:paraId="0283C60D" w14:textId="2DFF9C82" w:rsidR="00AC2285" w:rsidRDefault="006D32D0" w:rsidP="00821B0C">
      <w:pPr>
        <w:spacing w:after="0" w:line="259" w:lineRule="auto"/>
        <w:ind w:left="0" w:firstLine="0"/>
      </w:pPr>
      <w:r>
        <w:rPr>
          <w:sz w:val="26"/>
        </w:rPr>
        <w:t xml:space="preserve"> </w:t>
      </w:r>
    </w:p>
    <w:p w14:paraId="145199E5" w14:textId="7A12A1C5" w:rsidR="00AC2285" w:rsidRDefault="006D32D0">
      <w:pPr>
        <w:pStyle w:val="Heading1"/>
        <w:ind w:left="95"/>
      </w:pPr>
      <w:r>
        <w:t xml:space="preserve">Class </w:t>
      </w:r>
      <w:r w:rsidR="002D0773">
        <w:t>6</w:t>
      </w:r>
      <w:r>
        <w:t xml:space="preserve">: </w:t>
      </w:r>
      <w:r w:rsidR="000F108E">
        <w:t>Case Study Presentations</w:t>
      </w:r>
      <w:r>
        <w:t xml:space="preserve"> </w:t>
      </w:r>
    </w:p>
    <w:p w14:paraId="7FB0404D" w14:textId="543A1D45" w:rsidR="00AC2285" w:rsidRDefault="00E7678D" w:rsidP="000F108E">
      <w:pPr>
        <w:spacing w:after="1" w:line="239" w:lineRule="auto"/>
        <w:ind w:left="95" w:right="353"/>
        <w:jc w:val="both"/>
      </w:pPr>
      <w:r>
        <w:t xml:space="preserve">Students will present their Health Care Financial </w:t>
      </w:r>
      <w:r w:rsidR="00F9329A">
        <w:t>Improvement</w:t>
      </w:r>
      <w:r>
        <w:t xml:space="preserve"> Case Studies in class.</w:t>
      </w:r>
    </w:p>
    <w:p w14:paraId="3641A782" w14:textId="78B7CEBA" w:rsidR="00AC2285" w:rsidRDefault="00E7678D" w:rsidP="00A26487">
      <w:pPr>
        <w:ind w:left="95" w:right="70"/>
      </w:pPr>
      <w:r>
        <w:t xml:space="preserve">Due: Health Care Financial Improvement Case Study and Presentation </w:t>
      </w:r>
      <w:r w:rsidRPr="0022687A">
        <w:rPr>
          <w:rFonts w:eastAsia="Calibri"/>
        </w:rPr>
        <w:t xml:space="preserve">submitted </w:t>
      </w:r>
      <w:r w:rsidR="00752804" w:rsidRPr="0022687A">
        <w:rPr>
          <w:rFonts w:eastAsia="Calibri"/>
        </w:rPr>
        <w:t>through Brightspace</w:t>
      </w:r>
      <w:r w:rsidR="00301EDA">
        <w:t>.</w:t>
      </w:r>
    </w:p>
    <w:p w14:paraId="375640BF" w14:textId="77777777" w:rsidR="00301EDA" w:rsidRDefault="00301EDA" w:rsidP="0022687A">
      <w:pPr>
        <w:spacing w:after="0" w:line="259" w:lineRule="auto"/>
        <w:ind w:left="0" w:firstLine="0"/>
        <w:rPr>
          <w:b/>
          <w:bCs/>
        </w:rPr>
      </w:pPr>
    </w:p>
    <w:p w14:paraId="0440A248" w14:textId="052C39A7" w:rsidR="00821B0C" w:rsidRDefault="006D32D0" w:rsidP="00301EDA">
      <w:pPr>
        <w:spacing w:after="0" w:line="259" w:lineRule="auto"/>
        <w:ind w:left="0" w:firstLine="0"/>
      </w:pPr>
      <w:r w:rsidRPr="002D0773">
        <w:rPr>
          <w:b/>
          <w:bCs/>
        </w:rPr>
        <w:t>Class 7: Final Exam</w:t>
      </w:r>
    </w:p>
    <w:p w14:paraId="40570FCC" w14:textId="6DEEE026" w:rsidR="002D0773" w:rsidRDefault="00821B0C" w:rsidP="00821B0C">
      <w:pPr>
        <w:ind w:left="95" w:right="70"/>
      </w:pPr>
      <w:r>
        <w:t xml:space="preserve">The Final Exam will be administered during </w:t>
      </w:r>
      <w:r w:rsidR="00A26487">
        <w:t>regular</w:t>
      </w:r>
      <w:r>
        <w:t xml:space="preserve"> class time</w:t>
      </w:r>
      <w:r w:rsidR="0022687A">
        <w:t xml:space="preserve"> in Brightspace</w:t>
      </w:r>
      <w:r>
        <w:t xml:space="preserve">. </w:t>
      </w:r>
    </w:p>
    <w:p w14:paraId="7BFF24A1" w14:textId="77777777" w:rsidR="002D0773" w:rsidRDefault="002D0773" w:rsidP="004B29A8">
      <w:pPr>
        <w:ind w:left="0" w:right="70" w:firstLine="0"/>
      </w:pPr>
    </w:p>
    <w:p w14:paraId="75E8E4C9" w14:textId="6CBEACF1" w:rsidR="00AC2285" w:rsidRDefault="006D32D0" w:rsidP="007E0276">
      <w:pPr>
        <w:pStyle w:val="Heading1"/>
        <w:ind w:left="95"/>
      </w:pPr>
      <w:r>
        <w:t xml:space="preserve">Students with Disabilities </w:t>
      </w:r>
    </w:p>
    <w:p w14:paraId="029DF313" w14:textId="77777777" w:rsidR="00AC2285" w:rsidRDefault="006D32D0">
      <w:pPr>
        <w:spacing w:after="3" w:line="249" w:lineRule="auto"/>
        <w:ind w:left="95" w:right="245"/>
      </w:pPr>
      <w:r>
        <w:rPr>
          <w:color w:val="212121"/>
        </w:rPr>
        <w:t xml:space="preserve">Academic accommodations are available for students with disabilities. Please visit the Moses </w:t>
      </w:r>
    </w:p>
    <w:p w14:paraId="3866A5B8" w14:textId="6CB0C7C3" w:rsidR="00AC2285" w:rsidRDefault="006D32D0" w:rsidP="00301EDA">
      <w:pPr>
        <w:spacing w:after="3" w:line="249" w:lineRule="auto"/>
        <w:ind w:left="95" w:right="245"/>
      </w:pPr>
      <w:r>
        <w:rPr>
          <w:color w:val="212121"/>
        </w:rPr>
        <w:t xml:space="preserve">Center for Students with Disabilities (CSD) website at </w:t>
      </w:r>
      <w:hyperlink r:id="rId10">
        <w:r>
          <w:rPr>
            <w:color w:val="1154CC"/>
            <w:u w:val="single" w:color="1154CC"/>
          </w:rPr>
          <w:t>www.nyu.edu/csd</w:t>
        </w:r>
      </w:hyperlink>
      <w:hyperlink r:id="rId11">
        <w:r>
          <w:rPr>
            <w:color w:val="1154CC"/>
          </w:rPr>
          <w:t xml:space="preserve"> </w:t>
        </w:r>
      </w:hyperlink>
      <w:r>
        <w:rPr>
          <w:color w:val="212121"/>
        </w:rPr>
        <w:t xml:space="preserve">and click on the Reasonable Accommodations and How to Register tab or call or e-mail CSD at </w:t>
      </w:r>
      <w:r>
        <w:rPr>
          <w:color w:val="1154CC"/>
          <w:u w:val="single" w:color="1154CC"/>
        </w:rPr>
        <w:t>(212-998-</w:t>
      </w:r>
      <w:r>
        <w:rPr>
          <w:color w:val="1154CC"/>
        </w:rPr>
        <w:t xml:space="preserve"> </w:t>
      </w:r>
      <w:r>
        <w:rPr>
          <w:color w:val="1154CC"/>
          <w:u w:val="single" w:color="1154CC"/>
        </w:rPr>
        <w:t>4980</w:t>
      </w:r>
      <w:r>
        <w:rPr>
          <w:color w:val="1154CC"/>
        </w:rPr>
        <w:t xml:space="preserve"> </w:t>
      </w:r>
      <w:r>
        <w:rPr>
          <w:color w:val="212121"/>
        </w:rPr>
        <w:t xml:space="preserve">or </w:t>
      </w:r>
      <w:r>
        <w:rPr>
          <w:color w:val="1154CC"/>
          <w:u w:val="single" w:color="1154CC"/>
        </w:rPr>
        <w:t>mosescsd@nyu.edu</w:t>
      </w:r>
      <w:r>
        <w:rPr>
          <w:color w:val="212121"/>
        </w:rPr>
        <w:t>) for information.</w:t>
      </w:r>
    </w:p>
    <w:p w14:paraId="54EC6339" w14:textId="77777777" w:rsidR="00301EDA" w:rsidRDefault="00301EDA" w:rsidP="00301EDA">
      <w:pPr>
        <w:spacing w:after="3" w:line="249" w:lineRule="auto"/>
        <w:ind w:left="95" w:right="245"/>
      </w:pPr>
      <w:bookmarkStart w:id="0" w:name="_GoBack"/>
      <w:bookmarkEnd w:id="0"/>
    </w:p>
    <w:p w14:paraId="2E548769" w14:textId="56686D2A" w:rsidR="007405E3" w:rsidRDefault="006D32D0" w:rsidP="000F7435">
      <w:pPr>
        <w:spacing w:after="3" w:line="249" w:lineRule="auto"/>
        <w:ind w:left="95" w:right="245"/>
      </w:pPr>
      <w:r>
        <w:rPr>
          <w:color w:val="212121"/>
        </w:rPr>
        <w:t xml:space="preserve">Students who are </w:t>
      </w:r>
      <w:r>
        <w:rPr>
          <w:color w:val="212121"/>
        </w:rPr>
        <w:t>requesting academic accommodations are strongly advised to reach out to the Moses Center as early as possible in the semester for assistance.</w:t>
      </w:r>
      <w:r>
        <w:t xml:space="preserve"> </w:t>
      </w:r>
    </w:p>
    <w:sectPr w:rsidR="007405E3">
      <w:footerReference w:type="even" r:id="rId12"/>
      <w:footerReference w:type="default" r:id="rId13"/>
      <w:footerReference w:type="first" r:id="rId14"/>
      <w:pgSz w:w="12240" w:h="15840"/>
      <w:pgMar w:top="1448" w:right="1383" w:bottom="987" w:left="1340" w:header="72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8C1FD" w14:textId="77777777" w:rsidR="006D32D0" w:rsidRDefault="006D32D0">
      <w:pPr>
        <w:spacing w:after="0" w:line="240" w:lineRule="auto"/>
      </w:pPr>
      <w:r>
        <w:separator/>
      </w:r>
    </w:p>
  </w:endnote>
  <w:endnote w:type="continuationSeparator" w:id="0">
    <w:p w14:paraId="66BEEEF9" w14:textId="77777777" w:rsidR="006D32D0" w:rsidRDefault="006D3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B27F8" w14:textId="77777777" w:rsidR="00AC2285" w:rsidRDefault="006D32D0">
    <w:pPr>
      <w:tabs>
        <w:tab w:val="center" w:pos="4782"/>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9AA88" w14:textId="77777777" w:rsidR="00AC2285" w:rsidRDefault="006D32D0">
    <w:pPr>
      <w:tabs>
        <w:tab w:val="center" w:pos="4782"/>
      </w:tabs>
      <w:spacing w:after="0" w:line="259" w:lineRule="auto"/>
      <w:ind w:left="0" w:firstLine="0"/>
    </w:pPr>
    <w:r>
      <w:rPr>
        <w:sz w:val="20"/>
      </w:rPr>
      <w:t xml:space="preserve"> </w:t>
    </w:r>
    <w:r>
      <w:rPr>
        <w:sz w:val="20"/>
      </w:rPr>
      <w:tab/>
    </w:r>
    <w:r>
      <w:fldChar w:fldCharType="begin"/>
    </w:r>
    <w:r>
      <w:instrText xml:space="preserve"> PAGE   \*</w:instrText>
    </w:r>
    <w:r>
      <w:instrText xml:space="preserve">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8D057" w14:textId="77777777" w:rsidR="00AC2285" w:rsidRDefault="006D32D0">
    <w:pPr>
      <w:tabs>
        <w:tab w:val="center" w:pos="4782"/>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94B25" w14:textId="77777777" w:rsidR="006D32D0" w:rsidRDefault="006D32D0">
      <w:pPr>
        <w:spacing w:after="0" w:line="240" w:lineRule="auto"/>
      </w:pPr>
      <w:r>
        <w:separator/>
      </w:r>
    </w:p>
  </w:footnote>
  <w:footnote w:type="continuationSeparator" w:id="0">
    <w:p w14:paraId="7A07639D" w14:textId="77777777" w:rsidR="006D32D0" w:rsidRDefault="006D32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31FCD"/>
    <w:multiLevelType w:val="hybridMultilevel"/>
    <w:tmpl w:val="4E1604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0F3D0B"/>
    <w:multiLevelType w:val="hybridMultilevel"/>
    <w:tmpl w:val="385C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52FD8"/>
    <w:multiLevelType w:val="hybridMultilevel"/>
    <w:tmpl w:val="7588402A"/>
    <w:lvl w:ilvl="0" w:tplc="0409000F">
      <w:start w:val="1"/>
      <w:numFmt w:val="decimal"/>
      <w:lvlText w:val="%1."/>
      <w:lvlJc w:val="left"/>
      <w:pPr>
        <w:ind w:left="805" w:hanging="360"/>
      </w:pPr>
    </w:lvl>
    <w:lvl w:ilvl="1" w:tplc="04090019" w:tentative="1">
      <w:start w:val="1"/>
      <w:numFmt w:val="lowerLetter"/>
      <w:lvlText w:val="%2."/>
      <w:lvlJc w:val="left"/>
      <w:pPr>
        <w:ind w:left="1525" w:hanging="360"/>
      </w:pPr>
    </w:lvl>
    <w:lvl w:ilvl="2" w:tplc="0409001B" w:tentative="1">
      <w:start w:val="1"/>
      <w:numFmt w:val="lowerRoman"/>
      <w:lvlText w:val="%3."/>
      <w:lvlJc w:val="right"/>
      <w:pPr>
        <w:ind w:left="2245" w:hanging="180"/>
      </w:p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abstractNum w:abstractNumId="3" w15:restartNumberingAfterBreak="0">
    <w:nsid w:val="2DED1B96"/>
    <w:multiLevelType w:val="hybridMultilevel"/>
    <w:tmpl w:val="E2E88B7A"/>
    <w:lvl w:ilvl="0" w:tplc="42063C6E">
      <w:start w:val="1"/>
      <w:numFmt w:val="bullet"/>
      <w:lvlText w:val="•"/>
      <w:lvlJc w:val="left"/>
      <w:pPr>
        <w:ind w:left="1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A6E8D2">
      <w:start w:val="1"/>
      <w:numFmt w:val="bullet"/>
      <w:lvlText w:val="o"/>
      <w:lvlJc w:val="left"/>
      <w:pPr>
        <w:ind w:left="1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2045776">
      <w:start w:val="1"/>
      <w:numFmt w:val="bullet"/>
      <w:lvlText w:val="▪"/>
      <w:lvlJc w:val="left"/>
      <w:pPr>
        <w:ind w:left="2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C865DFA">
      <w:start w:val="1"/>
      <w:numFmt w:val="bullet"/>
      <w:lvlText w:val="•"/>
      <w:lvlJc w:val="left"/>
      <w:pPr>
        <w:ind w:left="3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E0D7C2">
      <w:start w:val="1"/>
      <w:numFmt w:val="bullet"/>
      <w:lvlText w:val="o"/>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6F6AC8C">
      <w:start w:val="1"/>
      <w:numFmt w:val="bullet"/>
      <w:lvlText w:val="▪"/>
      <w:lvlJc w:val="left"/>
      <w:pPr>
        <w:ind w:left="4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3C0081A">
      <w:start w:val="1"/>
      <w:numFmt w:val="bullet"/>
      <w:lvlText w:val="•"/>
      <w:lvlJc w:val="left"/>
      <w:pPr>
        <w:ind w:left="5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54A08A">
      <w:start w:val="1"/>
      <w:numFmt w:val="bullet"/>
      <w:lvlText w:val="o"/>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7800208">
      <w:start w:val="1"/>
      <w:numFmt w:val="bullet"/>
      <w:lvlText w:val="▪"/>
      <w:lvlJc w:val="left"/>
      <w:pPr>
        <w:ind w:left="69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EB173FB"/>
    <w:multiLevelType w:val="hybridMultilevel"/>
    <w:tmpl w:val="733647E2"/>
    <w:lvl w:ilvl="0" w:tplc="2EF2452A">
      <w:start w:val="1"/>
      <w:numFmt w:val="decimal"/>
      <w:lvlText w:val="%1."/>
      <w:lvlJc w:val="left"/>
      <w:pPr>
        <w:ind w:left="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DACE04">
      <w:start w:val="1"/>
      <w:numFmt w:val="lowerLetter"/>
      <w:lvlText w:val="%2"/>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F42D1E">
      <w:start w:val="1"/>
      <w:numFmt w:val="lowerRoman"/>
      <w:lvlText w:val="%3"/>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D434F4">
      <w:start w:val="1"/>
      <w:numFmt w:val="decimal"/>
      <w:lvlText w:val="%4"/>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2E72BA">
      <w:start w:val="1"/>
      <w:numFmt w:val="lowerLetter"/>
      <w:lvlText w:val="%5"/>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BC51EA">
      <w:start w:val="1"/>
      <w:numFmt w:val="lowerRoman"/>
      <w:lvlText w:val="%6"/>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C8EC52">
      <w:start w:val="1"/>
      <w:numFmt w:val="decimal"/>
      <w:lvlText w:val="%7"/>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B67522">
      <w:start w:val="1"/>
      <w:numFmt w:val="lowerLetter"/>
      <w:lvlText w:val="%8"/>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04EF6A">
      <w:start w:val="1"/>
      <w:numFmt w:val="lowerRoman"/>
      <w:lvlText w:val="%9"/>
      <w:lvlJc w:val="left"/>
      <w:pPr>
        <w:ind w:left="6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242771B"/>
    <w:multiLevelType w:val="hybridMultilevel"/>
    <w:tmpl w:val="175EC53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59DA3F0C"/>
    <w:multiLevelType w:val="hybridMultilevel"/>
    <w:tmpl w:val="03C4C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7B46D9"/>
    <w:multiLevelType w:val="hybridMultilevel"/>
    <w:tmpl w:val="5F28E0A8"/>
    <w:lvl w:ilvl="0" w:tplc="06985CB6">
      <w:start w:val="1"/>
      <w:numFmt w:val="decimal"/>
      <w:lvlText w:val="%1."/>
      <w:lvlJc w:val="left"/>
      <w:pPr>
        <w:ind w:left="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D0F868">
      <w:start w:val="1"/>
      <w:numFmt w:val="lowerLetter"/>
      <w:lvlText w:val="%2"/>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80AF34">
      <w:start w:val="1"/>
      <w:numFmt w:val="lowerRoman"/>
      <w:lvlText w:val="%3"/>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2620B2">
      <w:start w:val="1"/>
      <w:numFmt w:val="decimal"/>
      <w:lvlText w:val="%4"/>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44D652">
      <w:start w:val="1"/>
      <w:numFmt w:val="lowerLetter"/>
      <w:lvlText w:val="%5"/>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9CAB86">
      <w:start w:val="1"/>
      <w:numFmt w:val="lowerRoman"/>
      <w:lvlText w:val="%6"/>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D885EC">
      <w:start w:val="1"/>
      <w:numFmt w:val="decimal"/>
      <w:lvlText w:val="%7"/>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4AFBCC">
      <w:start w:val="1"/>
      <w:numFmt w:val="lowerLetter"/>
      <w:lvlText w:val="%8"/>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C23E6C">
      <w:start w:val="1"/>
      <w:numFmt w:val="lowerRoman"/>
      <w:lvlText w:val="%9"/>
      <w:lvlJc w:val="left"/>
      <w:pPr>
        <w:ind w:left="6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F4A1E6F"/>
    <w:multiLevelType w:val="hybridMultilevel"/>
    <w:tmpl w:val="5F64F71C"/>
    <w:lvl w:ilvl="0" w:tplc="8A882A76">
      <w:start w:val="1"/>
      <w:numFmt w:val="decimal"/>
      <w:lvlText w:val="%1."/>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362A90">
      <w:start w:val="1"/>
      <w:numFmt w:val="lowerLetter"/>
      <w:lvlText w:val="%2"/>
      <w:lvlJc w:val="left"/>
      <w:pPr>
        <w:ind w:left="1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A80B40">
      <w:start w:val="1"/>
      <w:numFmt w:val="lowerRoman"/>
      <w:lvlText w:val="%3"/>
      <w:lvlJc w:val="left"/>
      <w:pPr>
        <w:ind w:left="2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0A1C16">
      <w:start w:val="1"/>
      <w:numFmt w:val="decimal"/>
      <w:lvlText w:val="%4"/>
      <w:lvlJc w:val="left"/>
      <w:pPr>
        <w:ind w:left="2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6E0534">
      <w:start w:val="1"/>
      <w:numFmt w:val="lowerLetter"/>
      <w:lvlText w:val="%5"/>
      <w:lvlJc w:val="left"/>
      <w:pPr>
        <w:ind w:left="3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007D64">
      <w:start w:val="1"/>
      <w:numFmt w:val="lowerRoman"/>
      <w:lvlText w:val="%6"/>
      <w:lvlJc w:val="left"/>
      <w:pPr>
        <w:ind w:left="4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EE91F2">
      <w:start w:val="1"/>
      <w:numFmt w:val="decimal"/>
      <w:lvlText w:val="%7"/>
      <w:lvlJc w:val="left"/>
      <w:pPr>
        <w:ind w:left="5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3C7F42">
      <w:start w:val="1"/>
      <w:numFmt w:val="lowerLetter"/>
      <w:lvlText w:val="%8"/>
      <w:lvlJc w:val="left"/>
      <w:pPr>
        <w:ind w:left="5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607944">
      <w:start w:val="1"/>
      <w:numFmt w:val="lowerRoman"/>
      <w:lvlText w:val="%9"/>
      <w:lvlJc w:val="left"/>
      <w:pPr>
        <w:ind w:left="6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3"/>
  </w:num>
  <w:num w:numId="3">
    <w:abstractNumId w:val="7"/>
  </w:num>
  <w:num w:numId="4">
    <w:abstractNumId w:val="4"/>
  </w:num>
  <w:num w:numId="5">
    <w:abstractNumId w:val="0"/>
  </w:num>
  <w:num w:numId="6">
    <w:abstractNumId w:val="6"/>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285"/>
    <w:rsid w:val="000230B2"/>
    <w:rsid w:val="00045858"/>
    <w:rsid w:val="00052448"/>
    <w:rsid w:val="00053F40"/>
    <w:rsid w:val="000A776D"/>
    <w:rsid w:val="000B3E23"/>
    <w:rsid w:val="000C18DB"/>
    <w:rsid w:val="000F108E"/>
    <w:rsid w:val="000F7435"/>
    <w:rsid w:val="001156F7"/>
    <w:rsid w:val="00117DAC"/>
    <w:rsid w:val="00140916"/>
    <w:rsid w:val="001431C9"/>
    <w:rsid w:val="00157A6D"/>
    <w:rsid w:val="00165C7E"/>
    <w:rsid w:val="00191C47"/>
    <w:rsid w:val="001A7665"/>
    <w:rsid w:val="001C0030"/>
    <w:rsid w:val="001C4AAB"/>
    <w:rsid w:val="00206835"/>
    <w:rsid w:val="00213170"/>
    <w:rsid w:val="0022687A"/>
    <w:rsid w:val="00260049"/>
    <w:rsid w:val="00286185"/>
    <w:rsid w:val="002D0773"/>
    <w:rsid w:val="002D0D11"/>
    <w:rsid w:val="00300234"/>
    <w:rsid w:val="00301EDA"/>
    <w:rsid w:val="00306FF9"/>
    <w:rsid w:val="00345942"/>
    <w:rsid w:val="003635DF"/>
    <w:rsid w:val="00372749"/>
    <w:rsid w:val="003B7C7E"/>
    <w:rsid w:val="003D1037"/>
    <w:rsid w:val="0048025E"/>
    <w:rsid w:val="004B29A8"/>
    <w:rsid w:val="004B2ED0"/>
    <w:rsid w:val="004C5E59"/>
    <w:rsid w:val="004F3BC6"/>
    <w:rsid w:val="005201CF"/>
    <w:rsid w:val="005262DE"/>
    <w:rsid w:val="005350C6"/>
    <w:rsid w:val="005501B5"/>
    <w:rsid w:val="005751B4"/>
    <w:rsid w:val="00575593"/>
    <w:rsid w:val="0058652A"/>
    <w:rsid w:val="005B4A14"/>
    <w:rsid w:val="006158D5"/>
    <w:rsid w:val="00631ADA"/>
    <w:rsid w:val="00676F04"/>
    <w:rsid w:val="006D32D0"/>
    <w:rsid w:val="006E279E"/>
    <w:rsid w:val="006F7F00"/>
    <w:rsid w:val="007045B8"/>
    <w:rsid w:val="007253C9"/>
    <w:rsid w:val="007366DE"/>
    <w:rsid w:val="007405E3"/>
    <w:rsid w:val="00752804"/>
    <w:rsid w:val="00782B3C"/>
    <w:rsid w:val="007A5307"/>
    <w:rsid w:val="007B191C"/>
    <w:rsid w:val="007C1483"/>
    <w:rsid w:val="007D1C14"/>
    <w:rsid w:val="007E0276"/>
    <w:rsid w:val="00814401"/>
    <w:rsid w:val="00816B8C"/>
    <w:rsid w:val="00821B0C"/>
    <w:rsid w:val="00823D2B"/>
    <w:rsid w:val="00825B4C"/>
    <w:rsid w:val="008378DF"/>
    <w:rsid w:val="00845079"/>
    <w:rsid w:val="00875D1C"/>
    <w:rsid w:val="0088328D"/>
    <w:rsid w:val="00892B22"/>
    <w:rsid w:val="008D54A0"/>
    <w:rsid w:val="008E25D3"/>
    <w:rsid w:val="00916DB4"/>
    <w:rsid w:val="00976815"/>
    <w:rsid w:val="009862CD"/>
    <w:rsid w:val="0099663D"/>
    <w:rsid w:val="009A1AB4"/>
    <w:rsid w:val="009A6980"/>
    <w:rsid w:val="009F21FF"/>
    <w:rsid w:val="00A145C7"/>
    <w:rsid w:val="00A26487"/>
    <w:rsid w:val="00A278A6"/>
    <w:rsid w:val="00A479D6"/>
    <w:rsid w:val="00A73693"/>
    <w:rsid w:val="00A85787"/>
    <w:rsid w:val="00A90415"/>
    <w:rsid w:val="00AA7558"/>
    <w:rsid w:val="00AB7DD4"/>
    <w:rsid w:val="00AC2285"/>
    <w:rsid w:val="00B03473"/>
    <w:rsid w:val="00B11B3F"/>
    <w:rsid w:val="00B46994"/>
    <w:rsid w:val="00B73860"/>
    <w:rsid w:val="00B76033"/>
    <w:rsid w:val="00B77136"/>
    <w:rsid w:val="00B77695"/>
    <w:rsid w:val="00BA4438"/>
    <w:rsid w:val="00BF596F"/>
    <w:rsid w:val="00C22C66"/>
    <w:rsid w:val="00C36E37"/>
    <w:rsid w:val="00C46937"/>
    <w:rsid w:val="00C55DC9"/>
    <w:rsid w:val="00C6532C"/>
    <w:rsid w:val="00C820B3"/>
    <w:rsid w:val="00C968AA"/>
    <w:rsid w:val="00CC0F48"/>
    <w:rsid w:val="00CE413F"/>
    <w:rsid w:val="00D0453F"/>
    <w:rsid w:val="00D61C82"/>
    <w:rsid w:val="00D81898"/>
    <w:rsid w:val="00DC14B5"/>
    <w:rsid w:val="00DE3A22"/>
    <w:rsid w:val="00DE621A"/>
    <w:rsid w:val="00E05272"/>
    <w:rsid w:val="00E072FC"/>
    <w:rsid w:val="00E65CF3"/>
    <w:rsid w:val="00E720FC"/>
    <w:rsid w:val="00E7678D"/>
    <w:rsid w:val="00E907A5"/>
    <w:rsid w:val="00EC1480"/>
    <w:rsid w:val="00ED74E9"/>
    <w:rsid w:val="00F03183"/>
    <w:rsid w:val="00F25BB9"/>
    <w:rsid w:val="00F35ED0"/>
    <w:rsid w:val="00F37ED0"/>
    <w:rsid w:val="00F50DBF"/>
    <w:rsid w:val="00F85B60"/>
    <w:rsid w:val="00F93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E00CB"/>
  <w15:docId w15:val="{FCE2BE8C-A89A-BC41-9270-B5B8BF09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 w:line="248" w:lineRule="auto"/>
      <w:ind w:left="110" w:hanging="10"/>
    </w:pPr>
    <w:rPr>
      <w:rFonts w:ascii="Times New Roman" w:eastAsia="Times New Roman" w:hAnsi="Times New Roman" w:cs="Times New Roman"/>
      <w:color w:val="000000"/>
      <w:lang w:bidi="en-US"/>
    </w:rPr>
  </w:style>
  <w:style w:type="paragraph" w:styleId="Heading1">
    <w:name w:val="heading 1"/>
    <w:next w:val="Normal"/>
    <w:link w:val="Heading1Char"/>
    <w:uiPriority w:val="9"/>
    <w:qFormat/>
    <w:pPr>
      <w:keepNext/>
      <w:keepLines/>
      <w:spacing w:after="8" w:line="248" w:lineRule="auto"/>
      <w:ind w:left="1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tblPr>
      <w:tblCellMar>
        <w:top w:w="0" w:type="dxa"/>
        <w:left w:w="0" w:type="dxa"/>
        <w:bottom w:w="0" w:type="dxa"/>
        <w:right w:w="0" w:type="dxa"/>
      </w:tblCellMar>
    </w:tblPr>
  </w:style>
  <w:style w:type="table" w:styleId="TableGrid0">
    <w:name w:val="Table Grid"/>
    <w:basedOn w:val="TableNormal"/>
    <w:uiPriority w:val="59"/>
    <w:rsid w:val="00B77136"/>
    <w:rPr>
      <w:rFonts w:eastAsiaTheme="minorHAnsi"/>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77136"/>
    <w:pPr>
      <w:spacing w:after="0" w:line="240" w:lineRule="auto"/>
      <w:ind w:left="720" w:firstLine="0"/>
      <w:contextualSpacing/>
    </w:pPr>
    <w:rPr>
      <w:rFonts w:asciiTheme="minorHAnsi" w:eastAsiaTheme="minorHAnsi" w:hAnsiTheme="minorHAnsi" w:cstheme="minorBidi"/>
      <w:color w:val="auto"/>
      <w:kern w:val="0"/>
      <w:lang w:bidi="ar-SA"/>
      <w14:ligatures w14:val="none"/>
    </w:rPr>
  </w:style>
  <w:style w:type="character" w:styleId="Hyperlink">
    <w:name w:val="Hyperlink"/>
    <w:basedOn w:val="DefaultParagraphFont"/>
    <w:uiPriority w:val="99"/>
    <w:unhideWhenUsed/>
    <w:rsid w:val="00B11B3F"/>
    <w:rPr>
      <w:color w:val="0563C1" w:themeColor="hyperlink"/>
      <w:u w:val="single"/>
    </w:rPr>
  </w:style>
  <w:style w:type="character" w:styleId="UnresolvedMention">
    <w:name w:val="Unresolved Mention"/>
    <w:basedOn w:val="DefaultParagraphFont"/>
    <w:uiPriority w:val="99"/>
    <w:semiHidden/>
    <w:unhideWhenUsed/>
    <w:rsid w:val="00B11B3F"/>
    <w:rPr>
      <w:color w:val="605E5C"/>
      <w:shd w:val="clear" w:color="auto" w:fill="E1DFDD"/>
    </w:rPr>
  </w:style>
  <w:style w:type="character" w:styleId="FollowedHyperlink">
    <w:name w:val="FollowedHyperlink"/>
    <w:basedOn w:val="DefaultParagraphFont"/>
    <w:uiPriority w:val="99"/>
    <w:semiHidden/>
    <w:unhideWhenUsed/>
    <w:rsid w:val="00575593"/>
    <w:rPr>
      <w:color w:val="954F72" w:themeColor="followedHyperlink"/>
      <w:u w:val="single"/>
    </w:rPr>
  </w:style>
  <w:style w:type="paragraph" w:styleId="NormalWeb">
    <w:name w:val="Normal (Web)"/>
    <w:basedOn w:val="Normal"/>
    <w:uiPriority w:val="99"/>
    <w:semiHidden/>
    <w:unhideWhenUsed/>
    <w:rsid w:val="0088328D"/>
    <w:pPr>
      <w:spacing w:before="100" w:beforeAutospacing="1" w:after="100" w:afterAutospacing="1" w:line="240" w:lineRule="auto"/>
      <w:ind w:left="0" w:firstLine="0"/>
    </w:pPr>
    <w:rPr>
      <w:color w:val="auto"/>
      <w:kern w:val="0"/>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677781">
      <w:bodyDiv w:val="1"/>
      <w:marLeft w:val="0"/>
      <w:marRight w:val="0"/>
      <w:marTop w:val="0"/>
      <w:marBottom w:val="0"/>
      <w:divBdr>
        <w:top w:val="none" w:sz="0" w:space="0" w:color="auto"/>
        <w:left w:val="none" w:sz="0" w:space="0" w:color="auto"/>
        <w:bottom w:val="none" w:sz="0" w:space="0" w:color="auto"/>
        <w:right w:val="none" w:sz="0" w:space="0" w:color="auto"/>
      </w:divBdr>
      <w:divsChild>
        <w:div w:id="2015380638">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kff.org/uninsured/report/the-uninsured-and-the-aca-a-primer-key-facts-about-health-insurance-and-the-uninsured-amidst-changes-to-the-affordable-care-ac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yu.edu/cs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yu.edu/csd" TargetMode="External"/><Relationship Id="rId4" Type="http://schemas.openxmlformats.org/officeDocument/2006/relationships/webSettings" Target="webSettings.xml"/><Relationship Id="rId9" Type="http://schemas.openxmlformats.org/officeDocument/2006/relationships/hyperlink" Target="https://www.commonwealthfund.org/publications/issue-briefs/2015/may/affordable-care-acts-payment-and-delivery-system-reform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2992</Words>
  <Characters>17057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Baruch College</dc:creator>
  <cp:keywords/>
  <cp:lastModifiedBy>Destiny Rodriguez</cp:lastModifiedBy>
  <cp:revision>3</cp:revision>
  <cp:lastPrinted>2023-05-03T14:43:00Z</cp:lastPrinted>
  <dcterms:created xsi:type="dcterms:W3CDTF">2024-06-07T17:12:00Z</dcterms:created>
  <dcterms:modified xsi:type="dcterms:W3CDTF">2024-11-08T21:46:00Z</dcterms:modified>
</cp:coreProperties>
</file>