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A178F0" w14:textId="77777777" w:rsidR="00BA4113" w:rsidRDefault="00000000">
      <w:pPr>
        <w:spacing w:line="240" w:lineRule="auto"/>
        <w:ind w:left="360" w:hanging="360"/>
        <w:jc w:val="center"/>
        <w:rPr>
          <w:rFonts w:ascii="Times New Roman" w:eastAsia="Times New Roman" w:hAnsi="Times New Roman" w:cs="Times New Roman"/>
          <w:b/>
        </w:rPr>
      </w:pPr>
      <w:r>
        <w:rPr>
          <w:rFonts w:ascii="Times New Roman" w:eastAsia="Times New Roman" w:hAnsi="Times New Roman" w:cs="Times New Roman"/>
          <w:b/>
        </w:rPr>
        <w:t xml:space="preserve">Land Use Law: The Planning Perspective </w:t>
      </w:r>
    </w:p>
    <w:p w14:paraId="76A9772F" w14:textId="77777777" w:rsidR="00BA4113" w:rsidRDefault="00000000">
      <w:pPr>
        <w:spacing w:line="240" w:lineRule="auto"/>
        <w:ind w:left="360" w:hanging="360"/>
        <w:jc w:val="center"/>
        <w:rPr>
          <w:rFonts w:ascii="Times New Roman" w:eastAsia="Times New Roman" w:hAnsi="Times New Roman" w:cs="Times New Roman"/>
          <w:b/>
        </w:rPr>
      </w:pPr>
      <w:r>
        <w:rPr>
          <w:rFonts w:ascii="Times New Roman" w:eastAsia="Times New Roman" w:hAnsi="Times New Roman" w:cs="Times New Roman"/>
          <w:b/>
        </w:rPr>
        <w:t xml:space="preserve">Spring 2025 Syllabus </w:t>
      </w:r>
    </w:p>
    <w:p w14:paraId="5E4E4AC5" w14:textId="77777777" w:rsidR="00BA4113" w:rsidRDefault="00000000">
      <w:pPr>
        <w:spacing w:line="240" w:lineRule="auto"/>
        <w:ind w:left="360" w:hanging="360"/>
        <w:rPr>
          <w:rFonts w:ascii="Times New Roman" w:eastAsia="Times New Roman" w:hAnsi="Times New Roman" w:cs="Times New Roman"/>
        </w:rPr>
      </w:pPr>
      <w:r>
        <w:rPr>
          <w:rFonts w:ascii="Times New Roman" w:eastAsia="Times New Roman" w:hAnsi="Times New Roman" w:cs="Times New Roman"/>
        </w:rPr>
        <w:t xml:space="preserve">Professor: </w:t>
      </w:r>
      <w:r>
        <w:rPr>
          <w:rFonts w:ascii="Times New Roman" w:eastAsia="Times New Roman" w:hAnsi="Times New Roman" w:cs="Times New Roman"/>
        </w:rPr>
        <w:tab/>
        <w:t xml:space="preserve">Joy Kim </w:t>
      </w:r>
    </w:p>
    <w:p w14:paraId="7C975BC7" w14:textId="77777777" w:rsidR="00BA4113" w:rsidRDefault="00000000">
      <w:pPr>
        <w:spacing w:line="240" w:lineRule="auto"/>
        <w:ind w:left="360" w:hanging="360"/>
        <w:rPr>
          <w:rFonts w:ascii="Times New Roman" w:eastAsia="Times New Roman" w:hAnsi="Times New Roman" w:cs="Times New Roman"/>
        </w:rPr>
      </w:pPr>
      <w:r>
        <w:rPr>
          <w:rFonts w:ascii="Times New Roman" w:eastAsia="Times New Roman" w:hAnsi="Times New Roman" w:cs="Times New Roman"/>
        </w:rPr>
        <w:t>Email:</w:t>
      </w:r>
      <w:r>
        <w:rPr>
          <w:rFonts w:ascii="Times New Roman" w:eastAsia="Times New Roman" w:hAnsi="Times New Roman" w:cs="Times New Roman"/>
        </w:rPr>
        <w:tab/>
      </w:r>
      <w:r>
        <w:rPr>
          <w:rFonts w:ascii="Times New Roman" w:eastAsia="Times New Roman" w:hAnsi="Times New Roman" w:cs="Times New Roman"/>
        </w:rPr>
        <w:tab/>
      </w:r>
      <w:hyperlink r:id="rId8">
        <w:r w:rsidR="00BA4113">
          <w:rPr>
            <w:rFonts w:ascii="Times New Roman" w:eastAsia="Times New Roman" w:hAnsi="Times New Roman" w:cs="Times New Roman"/>
            <w:color w:val="467886"/>
            <w:u w:val="single"/>
          </w:rPr>
          <w:t>jhk815@nyu.edu</w:t>
        </w:r>
      </w:hyperlink>
      <w:r>
        <w:rPr>
          <w:rFonts w:ascii="Times New Roman" w:eastAsia="Times New Roman" w:hAnsi="Times New Roman" w:cs="Times New Roman"/>
        </w:rPr>
        <w:t xml:space="preserve"> </w:t>
      </w:r>
    </w:p>
    <w:p w14:paraId="55A8D6EE" w14:textId="77777777" w:rsidR="00BA4113" w:rsidRDefault="00000000">
      <w:pPr>
        <w:spacing w:line="240" w:lineRule="auto"/>
        <w:ind w:left="360" w:hanging="360"/>
        <w:rPr>
          <w:rFonts w:ascii="Times New Roman" w:eastAsia="Times New Roman" w:hAnsi="Times New Roman" w:cs="Times New Roman"/>
        </w:rPr>
      </w:pPr>
      <w:r>
        <w:rPr>
          <w:rFonts w:ascii="Times New Roman" w:eastAsia="Times New Roman" w:hAnsi="Times New Roman" w:cs="Times New Roman"/>
        </w:rPr>
        <w:t xml:space="preserve">Office hours by appointment over Zoom or in person. </w:t>
      </w:r>
    </w:p>
    <w:p w14:paraId="494A4931" w14:textId="77777777" w:rsidR="00BA4113" w:rsidRDefault="00000000">
      <w:pPr>
        <w:pStyle w:val="Heading1"/>
        <w:keepNext w:val="0"/>
        <w:keepLines w:val="0"/>
        <w:spacing w:before="120" w:after="120" w:line="240" w:lineRule="auto"/>
        <w:rPr>
          <w:rFonts w:ascii="Times New Roman" w:eastAsia="Times New Roman" w:hAnsi="Times New Roman" w:cs="Times New Roman"/>
          <w:b/>
          <w:color w:val="000000"/>
          <w:sz w:val="24"/>
          <w:szCs w:val="24"/>
          <w:u w:val="single"/>
        </w:rPr>
      </w:pPr>
      <w:bookmarkStart w:id="0" w:name="_heading=h.sjg10jl5f0s7" w:colFirst="0" w:colLast="0"/>
      <w:bookmarkEnd w:id="0"/>
      <w:r>
        <w:rPr>
          <w:rFonts w:ascii="Times New Roman" w:eastAsia="Times New Roman" w:hAnsi="Times New Roman" w:cs="Times New Roman"/>
          <w:b/>
          <w:color w:val="000000"/>
          <w:sz w:val="24"/>
          <w:szCs w:val="24"/>
          <w:u w:val="single"/>
        </w:rPr>
        <w:t>Meeting Time and Place</w:t>
      </w:r>
    </w:p>
    <w:p w14:paraId="41E6C9BF" w14:textId="77777777" w:rsidR="00BA4113" w:rsidRDefault="00000000">
      <w:pPr>
        <w:spacing w:before="120" w:after="0" w:line="240" w:lineRule="auto"/>
        <w:ind w:right="6200"/>
        <w:rPr>
          <w:rFonts w:ascii="Times New Roman" w:eastAsia="Times New Roman" w:hAnsi="Times New Roman" w:cs="Times New Roman"/>
        </w:rPr>
      </w:pPr>
      <w:r>
        <w:rPr>
          <w:rFonts w:ascii="Times New Roman" w:eastAsia="Times New Roman" w:hAnsi="Times New Roman" w:cs="Times New Roman"/>
        </w:rPr>
        <w:t xml:space="preserve">Mondays, 4:55 – 6:35 pm </w:t>
      </w:r>
    </w:p>
    <w:p w14:paraId="4DD68245" w14:textId="77777777" w:rsidR="00BA4113" w:rsidRDefault="00000000">
      <w:pPr>
        <w:spacing w:line="240" w:lineRule="auto"/>
        <w:ind w:left="360" w:hanging="360"/>
        <w:rPr>
          <w:rFonts w:ascii="Times New Roman" w:eastAsia="Times New Roman" w:hAnsi="Times New Roman" w:cs="Times New Roman"/>
        </w:rPr>
      </w:pPr>
      <w:r>
        <w:rPr>
          <w:rFonts w:ascii="Times New Roman" w:eastAsia="Times New Roman" w:hAnsi="Times New Roman" w:cs="Times New Roman"/>
        </w:rPr>
        <w:t xml:space="preserve">105 East 17th Street, New York, Room 108  </w:t>
      </w:r>
    </w:p>
    <w:p w14:paraId="395081C2" w14:textId="77777777" w:rsidR="00BA4113" w:rsidRDefault="00000000">
      <w:pPr>
        <w:spacing w:line="240" w:lineRule="auto"/>
        <w:ind w:left="360" w:hanging="360"/>
        <w:rPr>
          <w:rFonts w:ascii="Times New Roman" w:eastAsia="Times New Roman" w:hAnsi="Times New Roman" w:cs="Times New Roman"/>
        </w:rPr>
      </w:pPr>
      <w:r>
        <w:rPr>
          <w:rFonts w:ascii="Times New Roman" w:eastAsia="Times New Roman" w:hAnsi="Times New Roman" w:cs="Times New Roman"/>
          <w:b/>
          <w:u w:val="single"/>
        </w:rPr>
        <w:t>Prerequisites:</w:t>
      </w:r>
      <w:r>
        <w:rPr>
          <w:rFonts w:ascii="Times New Roman" w:eastAsia="Times New Roman" w:hAnsi="Times New Roman" w:cs="Times New Roman"/>
        </w:rPr>
        <w:t xml:space="preserve"> None </w:t>
      </w:r>
    </w:p>
    <w:p w14:paraId="608ED082" w14:textId="77777777" w:rsidR="00BA4113" w:rsidRDefault="00000000">
      <w:pPr>
        <w:spacing w:line="240" w:lineRule="auto"/>
        <w:ind w:left="360" w:hanging="360"/>
        <w:rPr>
          <w:rFonts w:ascii="Times New Roman" w:eastAsia="Times New Roman" w:hAnsi="Times New Roman" w:cs="Times New Roman"/>
          <w:b/>
          <w:u w:val="single"/>
        </w:rPr>
      </w:pPr>
      <w:r>
        <w:rPr>
          <w:rFonts w:ascii="Times New Roman" w:eastAsia="Times New Roman" w:hAnsi="Times New Roman" w:cs="Times New Roman"/>
          <w:b/>
          <w:u w:val="single"/>
        </w:rPr>
        <w:t xml:space="preserve">Course Overview </w:t>
      </w:r>
    </w:p>
    <w:p w14:paraId="61E1EDAE" w14:textId="77777777" w:rsidR="00BA4113" w:rsidRDefault="00000000">
      <w:pPr>
        <w:spacing w:line="240" w:lineRule="auto"/>
        <w:ind w:firstLine="720"/>
        <w:rPr>
          <w:rFonts w:ascii="Times New Roman" w:eastAsia="Times New Roman" w:hAnsi="Times New Roman" w:cs="Times New Roman"/>
        </w:rPr>
      </w:pPr>
      <w:r>
        <w:rPr>
          <w:rFonts w:ascii="Times New Roman" w:eastAsia="Times New Roman" w:hAnsi="Times New Roman" w:cs="Times New Roman"/>
        </w:rPr>
        <w:t xml:space="preserve">This course is an overview of the legal and administrative framework used to regulate land use to help planners understand the way land use law underlies and shapes their work. While planners are not lawyers, planning work is inherently intertwined with an ever-changing legal landscape. </w:t>
      </w:r>
    </w:p>
    <w:p w14:paraId="33681FFA" w14:textId="77777777" w:rsidR="00BA4113" w:rsidRDefault="00000000">
      <w:pPr>
        <w:spacing w:line="240" w:lineRule="auto"/>
        <w:ind w:firstLine="720"/>
        <w:rPr>
          <w:rFonts w:ascii="Times New Roman" w:eastAsia="Times New Roman" w:hAnsi="Times New Roman" w:cs="Times New Roman"/>
        </w:rPr>
      </w:pPr>
      <w:r>
        <w:rPr>
          <w:rFonts w:ascii="Times New Roman" w:eastAsia="Times New Roman" w:hAnsi="Times New Roman" w:cs="Times New Roman"/>
        </w:rPr>
        <w:t xml:space="preserve">The course material includes judicial opinions, statutes, and secondary sources about various topics in zoning and land use law, including the source of zoning authority, constitutional limits to zoning, the discriminatory aspects of zoning history, and current land use procedures in New York City. </w:t>
      </w:r>
    </w:p>
    <w:p w14:paraId="3C9F85A6" w14:textId="77777777" w:rsidR="00BA4113" w:rsidRDefault="00000000">
      <w:pPr>
        <w:spacing w:line="240" w:lineRule="auto"/>
        <w:ind w:left="360" w:hanging="360"/>
        <w:rPr>
          <w:rFonts w:ascii="Times New Roman" w:eastAsia="Times New Roman" w:hAnsi="Times New Roman" w:cs="Times New Roman"/>
          <w:b/>
          <w:u w:val="single"/>
        </w:rPr>
      </w:pPr>
      <w:r>
        <w:rPr>
          <w:rFonts w:ascii="Times New Roman" w:eastAsia="Times New Roman" w:hAnsi="Times New Roman" w:cs="Times New Roman"/>
          <w:b/>
          <w:u w:val="single"/>
        </w:rPr>
        <w:t xml:space="preserve">Learning Objectives </w:t>
      </w:r>
    </w:p>
    <w:p w14:paraId="4ED70440" w14:textId="77777777" w:rsidR="00BA4113" w:rsidRDefault="00000000">
      <w:pPr>
        <w:numPr>
          <w:ilvl w:val="0"/>
          <w:numId w:val="1"/>
        </w:num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Identify the basic legal constraints of zoning and land </w:t>
      </w:r>
      <w:proofErr w:type="gramStart"/>
      <w:r>
        <w:rPr>
          <w:rFonts w:ascii="Times New Roman" w:eastAsia="Times New Roman" w:hAnsi="Times New Roman" w:cs="Times New Roman"/>
        </w:rPr>
        <w:t>use;</w:t>
      </w:r>
      <w:proofErr w:type="gramEnd"/>
      <w:r>
        <w:rPr>
          <w:rFonts w:ascii="Times New Roman" w:eastAsia="Times New Roman" w:hAnsi="Times New Roman" w:cs="Times New Roman"/>
        </w:rPr>
        <w:t xml:space="preserve"> </w:t>
      </w:r>
    </w:p>
    <w:p w14:paraId="29CAE803" w14:textId="77777777" w:rsidR="00BA4113" w:rsidRDefault="00000000">
      <w:pPr>
        <w:numPr>
          <w:ilvl w:val="0"/>
          <w:numId w:val="1"/>
        </w:num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Understand the structure of land use regulation and </w:t>
      </w:r>
      <w:proofErr w:type="gramStart"/>
      <w:r>
        <w:rPr>
          <w:rFonts w:ascii="Times New Roman" w:eastAsia="Times New Roman" w:hAnsi="Times New Roman" w:cs="Times New Roman"/>
        </w:rPr>
        <w:t>procedure;</w:t>
      </w:r>
      <w:proofErr w:type="gramEnd"/>
      <w:r>
        <w:rPr>
          <w:rFonts w:ascii="Times New Roman" w:eastAsia="Times New Roman" w:hAnsi="Times New Roman" w:cs="Times New Roman"/>
        </w:rPr>
        <w:t xml:space="preserve"> </w:t>
      </w:r>
    </w:p>
    <w:p w14:paraId="68338FFB" w14:textId="77777777" w:rsidR="00BA4113" w:rsidRDefault="00000000">
      <w:pPr>
        <w:numPr>
          <w:ilvl w:val="0"/>
          <w:numId w:val="1"/>
        </w:num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Consult and apply primary legal source materials, such as court cases, statutes, and </w:t>
      </w:r>
      <w:proofErr w:type="gramStart"/>
      <w:r>
        <w:rPr>
          <w:rFonts w:ascii="Times New Roman" w:eastAsia="Times New Roman" w:hAnsi="Times New Roman" w:cs="Times New Roman"/>
        </w:rPr>
        <w:t>regulations;</w:t>
      </w:r>
      <w:proofErr w:type="gramEnd"/>
    </w:p>
    <w:p w14:paraId="1D2788AC" w14:textId="77777777" w:rsidR="00BA4113" w:rsidRDefault="00000000">
      <w:pPr>
        <w:numPr>
          <w:ilvl w:val="0"/>
          <w:numId w:val="1"/>
        </w:num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Understand the complex interplay between land use law and </w:t>
      </w:r>
      <w:proofErr w:type="gramStart"/>
      <w:r>
        <w:rPr>
          <w:rFonts w:ascii="Times New Roman" w:eastAsia="Times New Roman" w:hAnsi="Times New Roman" w:cs="Times New Roman"/>
        </w:rPr>
        <w:t>practice;</w:t>
      </w:r>
      <w:proofErr w:type="gramEnd"/>
    </w:p>
    <w:p w14:paraId="10B2E4F6" w14:textId="77777777" w:rsidR="00BA4113" w:rsidRDefault="00000000">
      <w:pPr>
        <w:numPr>
          <w:ilvl w:val="0"/>
          <w:numId w:val="1"/>
        </w:numPr>
        <w:spacing w:after="0" w:line="240" w:lineRule="auto"/>
        <w:rPr>
          <w:rFonts w:ascii="Times New Roman" w:eastAsia="Times New Roman" w:hAnsi="Times New Roman" w:cs="Times New Roman"/>
        </w:rPr>
      </w:pPr>
      <w:r>
        <w:rPr>
          <w:rFonts w:ascii="Times New Roman" w:eastAsia="Times New Roman" w:hAnsi="Times New Roman" w:cs="Times New Roman"/>
        </w:rPr>
        <w:t>Be conversant in the most important contemporary challenges in land use regulation.</w:t>
      </w:r>
    </w:p>
    <w:p w14:paraId="3A0666DE" w14:textId="77777777" w:rsidR="00BA4113" w:rsidRDefault="00BA4113">
      <w:pPr>
        <w:spacing w:after="0" w:line="240" w:lineRule="auto"/>
        <w:ind w:left="720"/>
        <w:rPr>
          <w:rFonts w:ascii="Times New Roman" w:eastAsia="Times New Roman" w:hAnsi="Times New Roman" w:cs="Times New Roman"/>
        </w:rPr>
      </w:pPr>
    </w:p>
    <w:p w14:paraId="22A520A7" w14:textId="77777777" w:rsidR="00BA4113" w:rsidRDefault="00000000">
      <w:pPr>
        <w:spacing w:line="240" w:lineRule="auto"/>
        <w:ind w:left="360" w:hanging="360"/>
        <w:rPr>
          <w:rFonts w:ascii="Times New Roman" w:eastAsia="Times New Roman" w:hAnsi="Times New Roman" w:cs="Times New Roman"/>
          <w:b/>
          <w:u w:val="single"/>
        </w:rPr>
      </w:pPr>
      <w:r>
        <w:rPr>
          <w:rFonts w:ascii="Times New Roman" w:eastAsia="Times New Roman" w:hAnsi="Times New Roman" w:cs="Times New Roman"/>
          <w:b/>
          <w:u w:val="single"/>
        </w:rPr>
        <w:t xml:space="preserve">Grading </w:t>
      </w:r>
    </w:p>
    <w:p w14:paraId="33E25D84" w14:textId="77777777" w:rsidR="00BA4113" w:rsidRDefault="00000000">
      <w:pPr>
        <w:spacing w:before="120" w:after="240" w:line="240" w:lineRule="auto"/>
        <w:rPr>
          <w:rFonts w:ascii="Times New Roman" w:eastAsia="Times New Roman" w:hAnsi="Times New Roman" w:cs="Times New Roman"/>
        </w:rPr>
      </w:pPr>
      <w:bookmarkStart w:id="1" w:name="_heading=h.npwyzwyvasjj" w:colFirst="0" w:colLast="0"/>
      <w:bookmarkEnd w:id="1"/>
      <w:r>
        <w:rPr>
          <w:rFonts w:ascii="Times New Roman" w:eastAsia="Times New Roman" w:hAnsi="Times New Roman" w:cs="Times New Roman"/>
        </w:rPr>
        <w:t>The final grade for the class will be determined as follows:</w:t>
      </w:r>
    </w:p>
    <w:p w14:paraId="0E2A694C" w14:textId="77777777" w:rsidR="00BA4113" w:rsidRDefault="00000000">
      <w:pPr>
        <w:numPr>
          <w:ilvl w:val="0"/>
          <w:numId w:val="7"/>
        </w:numPr>
        <w:pBdr>
          <w:top w:val="nil"/>
          <w:left w:val="nil"/>
          <w:bottom w:val="nil"/>
          <w:right w:val="nil"/>
          <w:between w:val="nil"/>
        </w:pBdr>
        <w:spacing w:before="120" w:after="0" w:line="240" w:lineRule="auto"/>
        <w:rPr>
          <w:rFonts w:ascii="Times New Roman" w:eastAsia="Times New Roman" w:hAnsi="Times New Roman" w:cs="Times New Roman"/>
          <w:color w:val="000000"/>
        </w:rPr>
      </w:pPr>
      <w:bookmarkStart w:id="2" w:name="_heading=h.t3ypgu1sxb9p" w:colFirst="0" w:colLast="0"/>
      <w:bookmarkEnd w:id="2"/>
      <w:r>
        <w:rPr>
          <w:rFonts w:ascii="Times New Roman" w:eastAsia="Times New Roman" w:hAnsi="Times New Roman" w:cs="Times New Roman"/>
          <w:b/>
          <w:color w:val="000000"/>
        </w:rPr>
        <w:t xml:space="preserve">20% Attendance and Classroom Participation: </w:t>
      </w:r>
      <w:r>
        <w:rPr>
          <w:rFonts w:ascii="Times New Roman" w:eastAsia="Times New Roman" w:hAnsi="Times New Roman" w:cs="Times New Roman"/>
          <w:color w:val="000000"/>
        </w:rPr>
        <w:t>Students are expected to attend and participate in class. Reading should be completed for class.</w:t>
      </w:r>
    </w:p>
    <w:p w14:paraId="0C164202" w14:textId="77777777" w:rsidR="00BA4113" w:rsidRDefault="00000000">
      <w:pPr>
        <w:numPr>
          <w:ilvl w:val="0"/>
          <w:numId w:val="7"/>
        </w:numPr>
        <w:pBdr>
          <w:top w:val="nil"/>
          <w:left w:val="nil"/>
          <w:bottom w:val="nil"/>
          <w:right w:val="nil"/>
          <w:between w:val="nil"/>
        </w:pBdr>
        <w:spacing w:after="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 xml:space="preserve">20% Hearing Memo: </w:t>
      </w:r>
      <w:r>
        <w:rPr>
          <w:rFonts w:ascii="Times New Roman" w:eastAsia="Times New Roman" w:hAnsi="Times New Roman" w:cs="Times New Roman"/>
          <w:color w:val="000000"/>
        </w:rPr>
        <w:t>Attend/stream a public hearing on a land use matter and draft a 5-page (double-spaced) summary and analysis of the issues presented at a Community Board Land Use, City Planning Commission, or City Council Land Use hearing. We’ll discuss this assignment in class.</w:t>
      </w:r>
    </w:p>
    <w:p w14:paraId="4CEEFF72" w14:textId="77777777" w:rsidR="00BA4113" w:rsidRDefault="00000000">
      <w:pPr>
        <w:numPr>
          <w:ilvl w:val="1"/>
          <w:numId w:val="7"/>
        </w:numPr>
        <w:pBdr>
          <w:top w:val="nil"/>
          <w:left w:val="nil"/>
          <w:bottom w:val="nil"/>
          <w:right w:val="nil"/>
          <w:between w:val="nil"/>
        </w:pBdr>
        <w:spacing w:after="0" w:line="240" w:lineRule="auto"/>
        <w:rPr>
          <w:rFonts w:ascii="Times New Roman" w:eastAsia="Times New Roman" w:hAnsi="Times New Roman" w:cs="Times New Roman"/>
          <w:color w:val="000000"/>
        </w:rPr>
      </w:pPr>
      <w:bookmarkStart w:id="3" w:name="_heading=h.ijsgsdijhyre" w:colFirst="0" w:colLast="0"/>
      <w:bookmarkEnd w:id="3"/>
      <w:r>
        <w:rPr>
          <w:rFonts w:ascii="Times New Roman" w:eastAsia="Times New Roman" w:hAnsi="Times New Roman" w:cs="Times New Roman"/>
          <w:color w:val="000000"/>
        </w:rPr>
        <w:t xml:space="preserve">Due Date: April </w:t>
      </w:r>
      <w:r>
        <w:rPr>
          <w:rFonts w:ascii="Times New Roman" w:eastAsia="Times New Roman" w:hAnsi="Times New Roman" w:cs="Times New Roman"/>
        </w:rPr>
        <w:t>14</w:t>
      </w:r>
      <w:r>
        <w:rPr>
          <w:rFonts w:ascii="Times New Roman" w:eastAsia="Times New Roman" w:hAnsi="Times New Roman" w:cs="Times New Roman"/>
          <w:color w:val="000000"/>
        </w:rPr>
        <w:t>, 2025</w:t>
      </w:r>
    </w:p>
    <w:p w14:paraId="07CAA583" w14:textId="77777777" w:rsidR="00BA4113" w:rsidRDefault="00000000">
      <w:pPr>
        <w:numPr>
          <w:ilvl w:val="0"/>
          <w:numId w:val="7"/>
        </w:numPr>
        <w:pBdr>
          <w:top w:val="nil"/>
          <w:left w:val="nil"/>
          <w:bottom w:val="nil"/>
          <w:right w:val="nil"/>
          <w:between w:val="nil"/>
        </w:pBdr>
        <w:spacing w:after="0" w:line="240" w:lineRule="auto"/>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60% Final Exam: </w:t>
      </w:r>
      <w:r>
        <w:rPr>
          <w:rFonts w:ascii="Times New Roman" w:eastAsia="Times New Roman" w:hAnsi="Times New Roman" w:cs="Times New Roman"/>
          <w:color w:val="000000"/>
        </w:rPr>
        <w:t xml:space="preserve">At the end of the last class, you will receive a take-home final examination. </w:t>
      </w:r>
    </w:p>
    <w:p w14:paraId="043C580D" w14:textId="77777777" w:rsidR="00BA4113" w:rsidRDefault="00000000">
      <w:pPr>
        <w:numPr>
          <w:ilvl w:val="1"/>
          <w:numId w:val="7"/>
        </w:numPr>
        <w:pBdr>
          <w:top w:val="nil"/>
          <w:left w:val="nil"/>
          <w:bottom w:val="nil"/>
          <w:right w:val="nil"/>
          <w:between w:val="nil"/>
        </w:pBdr>
        <w:spacing w:after="240" w:line="240" w:lineRule="auto"/>
        <w:rPr>
          <w:rFonts w:ascii="Times New Roman" w:eastAsia="Times New Roman" w:hAnsi="Times New Roman" w:cs="Times New Roman"/>
          <w:b/>
          <w:color w:val="000000"/>
        </w:rPr>
      </w:pPr>
      <w:r>
        <w:rPr>
          <w:rFonts w:ascii="Times New Roman" w:eastAsia="Times New Roman" w:hAnsi="Times New Roman" w:cs="Times New Roman"/>
          <w:color w:val="000000"/>
        </w:rPr>
        <w:t xml:space="preserve">Due Date: </w:t>
      </w:r>
      <w:r>
        <w:rPr>
          <w:rFonts w:ascii="Times New Roman" w:eastAsia="Times New Roman" w:hAnsi="Times New Roman" w:cs="Times New Roman"/>
        </w:rPr>
        <w:t>EOD May 14, 2025</w:t>
      </w:r>
      <w:r>
        <w:rPr>
          <w:rFonts w:ascii="Times New Roman" w:eastAsia="Times New Roman" w:hAnsi="Times New Roman" w:cs="Times New Roman"/>
          <w:color w:val="000000"/>
        </w:rPr>
        <w:t xml:space="preserve"> (submit through </w:t>
      </w:r>
      <w:r>
        <w:rPr>
          <w:rFonts w:ascii="Times New Roman" w:eastAsia="Times New Roman" w:hAnsi="Times New Roman" w:cs="Times New Roman"/>
          <w:i/>
          <w:color w:val="000000"/>
        </w:rPr>
        <w:t>Brightspace</w:t>
      </w:r>
      <w:r>
        <w:rPr>
          <w:rFonts w:ascii="Times New Roman" w:eastAsia="Times New Roman" w:hAnsi="Times New Roman" w:cs="Times New Roman"/>
          <w:color w:val="000000"/>
        </w:rPr>
        <w:t>)</w:t>
      </w:r>
    </w:p>
    <w:p w14:paraId="1A0AACD0" w14:textId="77777777" w:rsidR="00BA4113" w:rsidRDefault="00000000">
      <w:pPr>
        <w:spacing w:line="240" w:lineRule="auto"/>
        <w:ind w:left="360" w:hanging="360"/>
        <w:rPr>
          <w:rFonts w:ascii="Times New Roman" w:eastAsia="Times New Roman" w:hAnsi="Times New Roman" w:cs="Times New Roman"/>
          <w:b/>
          <w:u w:val="single"/>
        </w:rPr>
      </w:pPr>
      <w:r>
        <w:rPr>
          <w:rFonts w:ascii="Times New Roman" w:eastAsia="Times New Roman" w:hAnsi="Times New Roman" w:cs="Times New Roman"/>
          <w:b/>
          <w:u w:val="single"/>
        </w:rPr>
        <w:t>Course Materials &amp; Brightspace</w:t>
      </w:r>
    </w:p>
    <w:p w14:paraId="269462FC" w14:textId="77777777" w:rsidR="00BA4113" w:rsidRDefault="00000000">
      <w:pPr>
        <w:spacing w:line="240" w:lineRule="auto"/>
        <w:ind w:firstLine="720"/>
        <w:rPr>
          <w:rFonts w:ascii="Times New Roman" w:eastAsia="Times New Roman" w:hAnsi="Times New Roman" w:cs="Times New Roman"/>
        </w:rPr>
      </w:pPr>
      <w:r>
        <w:rPr>
          <w:rFonts w:ascii="Times New Roman" w:eastAsia="Times New Roman" w:hAnsi="Times New Roman" w:cs="Times New Roman"/>
        </w:rPr>
        <w:t xml:space="preserve">All announcements, resources, and assignments (including readings) will be through Brightspace. I may modify the syllabus, assignments, due dates, etc. during the semester which advance notice provided as soon as possible through Brightspace. </w:t>
      </w:r>
    </w:p>
    <w:p w14:paraId="25A61299" w14:textId="77777777" w:rsidR="00BA4113" w:rsidRDefault="00000000">
      <w:pPr>
        <w:pStyle w:val="Heading1"/>
        <w:keepNext w:val="0"/>
        <w:keepLines w:val="0"/>
        <w:spacing w:before="240" w:after="120" w:line="240" w:lineRule="auto"/>
        <w:rPr>
          <w:rFonts w:ascii="Times New Roman" w:eastAsia="Times New Roman" w:hAnsi="Times New Roman" w:cs="Times New Roman"/>
          <w:b/>
          <w:color w:val="000000"/>
          <w:sz w:val="24"/>
          <w:szCs w:val="24"/>
          <w:u w:val="single"/>
        </w:rPr>
      </w:pPr>
      <w:bookmarkStart w:id="4" w:name="_heading=h.oqmn31qpz7b3" w:colFirst="0" w:colLast="0"/>
      <w:bookmarkEnd w:id="4"/>
      <w:r>
        <w:rPr>
          <w:rFonts w:ascii="Times New Roman" w:eastAsia="Times New Roman" w:hAnsi="Times New Roman" w:cs="Times New Roman"/>
          <w:b/>
          <w:color w:val="000000"/>
          <w:sz w:val="24"/>
          <w:szCs w:val="24"/>
          <w:u w:val="single"/>
        </w:rPr>
        <w:lastRenderedPageBreak/>
        <w:t>Academic Integrity</w:t>
      </w:r>
    </w:p>
    <w:p w14:paraId="6F244222" w14:textId="77777777" w:rsidR="00BA4113" w:rsidRDefault="00000000">
      <w:pPr>
        <w:spacing w:line="240" w:lineRule="auto"/>
        <w:ind w:firstLine="720"/>
        <w:rPr>
          <w:rFonts w:ascii="Times New Roman" w:eastAsia="Times New Roman" w:hAnsi="Times New Roman" w:cs="Times New Roman"/>
        </w:rPr>
      </w:pPr>
      <w:r>
        <w:rPr>
          <w:rFonts w:ascii="Times New Roman" w:eastAsia="Times New Roman" w:hAnsi="Times New Roman" w:cs="Times New Roman"/>
        </w:rPr>
        <w:t xml:space="preserve">Academic integrity is a vital component of Wagner and NYU. Each student is required to sign and abide by </w:t>
      </w:r>
      <w:r>
        <w:rPr>
          <w:rFonts w:ascii="Times New Roman" w:eastAsia="Times New Roman" w:hAnsi="Times New Roman" w:cs="Times New Roman"/>
          <w:u w:val="single"/>
        </w:rPr>
        <w:t>Wagner’s Academic Code.</w:t>
      </w:r>
      <w:r>
        <w:rPr>
          <w:rFonts w:ascii="Times New Roman" w:eastAsia="Times New Roman" w:hAnsi="Times New Roman" w:cs="Times New Roman"/>
        </w:rPr>
        <w:t xml:space="preserve"> Consequently, plagiarism of any form will not be tolerated. Every student is expected to maintain academic integrity and is expected to report violations to me. I am also obligated to report violations of academic integrity to NYU. </w:t>
      </w:r>
    </w:p>
    <w:p w14:paraId="5D0A084A" w14:textId="77777777" w:rsidR="00BA4113" w:rsidRDefault="00000000">
      <w:pPr>
        <w:pStyle w:val="Heading1"/>
        <w:keepNext w:val="0"/>
        <w:keepLines w:val="0"/>
        <w:spacing w:before="240" w:after="120" w:line="240" w:lineRule="auto"/>
        <w:rPr>
          <w:rFonts w:ascii="Times New Roman" w:eastAsia="Times New Roman" w:hAnsi="Times New Roman" w:cs="Times New Roman"/>
          <w:b/>
          <w:color w:val="000000"/>
          <w:sz w:val="24"/>
          <w:szCs w:val="24"/>
          <w:u w:val="single"/>
        </w:rPr>
      </w:pPr>
      <w:bookmarkStart w:id="5" w:name="_heading=h.b3b5x4yrrvlp" w:colFirst="0" w:colLast="0"/>
      <w:bookmarkEnd w:id="5"/>
      <w:r>
        <w:rPr>
          <w:rFonts w:ascii="Times New Roman" w:eastAsia="Times New Roman" w:hAnsi="Times New Roman" w:cs="Times New Roman"/>
          <w:b/>
          <w:color w:val="000000"/>
          <w:sz w:val="24"/>
          <w:szCs w:val="24"/>
          <w:u w:val="single"/>
        </w:rPr>
        <w:t xml:space="preserve">Artificial Intelligence (AI) Policy </w:t>
      </w:r>
    </w:p>
    <w:p w14:paraId="64ECD520"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ab/>
        <w:t>The use of generative AI tools is strictly prohibited in this course. Any use of such tools will be considered a violation of the Wagner Academic Code.</w:t>
      </w:r>
    </w:p>
    <w:p w14:paraId="6CB90916" w14:textId="77777777" w:rsidR="00BA4113" w:rsidRDefault="00000000">
      <w:pPr>
        <w:pStyle w:val="Heading1"/>
        <w:keepNext w:val="0"/>
        <w:keepLines w:val="0"/>
        <w:spacing w:before="240" w:after="120" w:line="240" w:lineRule="auto"/>
        <w:rPr>
          <w:rFonts w:ascii="Times New Roman" w:eastAsia="Times New Roman" w:hAnsi="Times New Roman" w:cs="Times New Roman"/>
          <w:b/>
          <w:color w:val="000000"/>
          <w:sz w:val="24"/>
          <w:szCs w:val="24"/>
          <w:u w:val="single"/>
        </w:rPr>
      </w:pPr>
      <w:bookmarkStart w:id="6" w:name="_heading=h.sr3d5zadet89" w:colFirst="0" w:colLast="0"/>
      <w:bookmarkEnd w:id="6"/>
      <w:r>
        <w:rPr>
          <w:rFonts w:ascii="Times New Roman" w:eastAsia="Times New Roman" w:hAnsi="Times New Roman" w:cs="Times New Roman"/>
          <w:b/>
          <w:color w:val="000000"/>
          <w:sz w:val="24"/>
          <w:szCs w:val="24"/>
          <w:u w:val="single"/>
        </w:rPr>
        <w:t>Student Resources</w:t>
      </w:r>
    </w:p>
    <w:p w14:paraId="119E7061" w14:textId="77777777" w:rsidR="00BA4113" w:rsidRDefault="00000000">
      <w:pPr>
        <w:spacing w:before="120" w:after="0" w:line="240" w:lineRule="auto"/>
        <w:rPr>
          <w:rFonts w:ascii="Times New Roman" w:eastAsia="Times New Roman" w:hAnsi="Times New Roman" w:cs="Times New Roman"/>
          <w:i/>
        </w:rPr>
      </w:pPr>
      <w:r>
        <w:rPr>
          <w:rFonts w:ascii="Times New Roman" w:eastAsia="Times New Roman" w:hAnsi="Times New Roman" w:cs="Times New Roman"/>
          <w:i/>
        </w:rPr>
        <w:t xml:space="preserve">Writing Center </w:t>
      </w:r>
    </w:p>
    <w:p w14:paraId="0649F58F" w14:textId="77777777" w:rsidR="00BA4113" w:rsidRDefault="00000000">
      <w:pPr>
        <w:spacing w:before="120" w:after="0" w:line="240" w:lineRule="auto"/>
        <w:ind w:firstLine="720"/>
        <w:rPr>
          <w:rFonts w:ascii="Times New Roman" w:eastAsia="Times New Roman" w:hAnsi="Times New Roman" w:cs="Times New Roman"/>
        </w:rPr>
      </w:pPr>
      <w:r>
        <w:rPr>
          <w:rFonts w:ascii="Times New Roman" w:eastAsia="Times New Roman" w:hAnsi="Times New Roman" w:cs="Times New Roman"/>
        </w:rPr>
        <w:t xml:space="preserve">Wagner tutors are available to help students with their writing skills. Please see details on </w:t>
      </w:r>
      <w:hyperlink r:id="rId9">
        <w:r w:rsidR="00BA4113">
          <w:rPr>
            <w:rFonts w:ascii="Times New Roman" w:eastAsia="Times New Roman" w:hAnsi="Times New Roman" w:cs="Times New Roman"/>
            <w:color w:val="467886"/>
            <w:u w:val="single"/>
          </w:rPr>
          <w:t>https://wagner.nyu.edu/portal/students/academics/advisement/writing-center</w:t>
        </w:r>
      </w:hyperlink>
      <w:r>
        <w:rPr>
          <w:rFonts w:ascii="Times New Roman" w:eastAsia="Times New Roman" w:hAnsi="Times New Roman" w:cs="Times New Roman"/>
        </w:rPr>
        <w:t>.</w:t>
      </w:r>
    </w:p>
    <w:p w14:paraId="5E5E2AE4" w14:textId="77777777" w:rsidR="00BA4113" w:rsidRDefault="00000000">
      <w:pPr>
        <w:pStyle w:val="Heading1"/>
        <w:keepNext w:val="0"/>
        <w:keepLines w:val="0"/>
        <w:spacing w:before="80" w:after="120" w:line="240" w:lineRule="auto"/>
        <w:rPr>
          <w:rFonts w:ascii="Times New Roman" w:eastAsia="Times New Roman" w:hAnsi="Times New Roman" w:cs="Times New Roman"/>
          <w:i/>
          <w:color w:val="000000"/>
          <w:sz w:val="24"/>
          <w:szCs w:val="24"/>
        </w:rPr>
      </w:pPr>
      <w:bookmarkStart w:id="7" w:name="_heading=h.rjcdymbut9hu" w:colFirst="0" w:colLast="0"/>
      <w:bookmarkEnd w:id="7"/>
      <w:r>
        <w:rPr>
          <w:rFonts w:ascii="Times New Roman" w:eastAsia="Times New Roman" w:hAnsi="Times New Roman" w:cs="Times New Roman"/>
          <w:i/>
          <w:color w:val="000000"/>
          <w:sz w:val="24"/>
          <w:szCs w:val="24"/>
        </w:rPr>
        <w:t>Henry and Lucy Moses Center for Students with Disabilities at NYU</w:t>
      </w:r>
    </w:p>
    <w:p w14:paraId="5DA052A7" w14:textId="77777777" w:rsidR="00BA4113" w:rsidRDefault="00000000">
      <w:pPr>
        <w:spacing w:before="120" w:after="0" w:line="240" w:lineRule="auto"/>
        <w:ind w:right="140" w:firstLine="720"/>
        <w:rPr>
          <w:rFonts w:ascii="Times New Roman" w:eastAsia="Times New Roman" w:hAnsi="Times New Roman" w:cs="Times New Roman"/>
        </w:rPr>
      </w:pPr>
      <w:r>
        <w:rPr>
          <w:rFonts w:ascii="Times New Roman" w:eastAsia="Times New Roman" w:hAnsi="Times New Roman" w:cs="Times New Roman"/>
        </w:rPr>
        <w:t>Academic accommodations are available for students with disabilities. Please visit the Moses Center for Students with Disabilities (CSD) website at</w:t>
      </w:r>
      <w:hyperlink r:id="rId10">
        <w:r w:rsidR="00BA4113">
          <w:rPr>
            <w:rFonts w:ascii="Times New Roman" w:eastAsia="Times New Roman" w:hAnsi="Times New Roman" w:cs="Times New Roman"/>
          </w:rPr>
          <w:t xml:space="preserve"> </w:t>
        </w:r>
      </w:hyperlink>
      <w:hyperlink r:id="rId11">
        <w:r w:rsidR="00BA4113">
          <w:rPr>
            <w:rFonts w:ascii="Times New Roman" w:eastAsia="Times New Roman" w:hAnsi="Times New Roman" w:cs="Times New Roman"/>
            <w:color w:val="1155CC"/>
            <w:u w:val="single"/>
          </w:rPr>
          <w:t>www.nyu.edu/csd</w:t>
        </w:r>
      </w:hyperlink>
      <w:r>
        <w:rPr>
          <w:rFonts w:ascii="Times New Roman" w:eastAsia="Times New Roman" w:hAnsi="Times New Roman" w:cs="Times New Roman"/>
        </w:rPr>
        <w:t xml:space="preserve"> and click on the Reasonable Accommodations and How to Register tab or call or e-mail CSD at (212-998-4980 or mosescsd@nyu.edu) for information. Students who are requesting academic accommodations are strongly advised to reach out to the Moses Center as early as possible in the semester for assistance.</w:t>
      </w:r>
    </w:p>
    <w:p w14:paraId="6A8FCB19" w14:textId="77777777" w:rsidR="00BA4113" w:rsidRDefault="00000000">
      <w:pPr>
        <w:spacing w:before="120" w:after="0" w:line="240" w:lineRule="auto"/>
        <w:ind w:right="140"/>
        <w:rPr>
          <w:rFonts w:ascii="Times New Roman" w:eastAsia="Times New Roman" w:hAnsi="Times New Roman" w:cs="Times New Roman"/>
        </w:rPr>
      </w:pPr>
      <w:r>
        <w:rPr>
          <w:rFonts w:ascii="Times New Roman" w:eastAsia="Times New Roman" w:hAnsi="Times New Roman" w:cs="Times New Roman"/>
        </w:rPr>
        <w:t xml:space="preserve">Please see Wagner’s website for more student resources. </w:t>
      </w:r>
    </w:p>
    <w:p w14:paraId="296F76A5" w14:textId="77777777" w:rsidR="00BA4113" w:rsidRDefault="00000000">
      <w:pPr>
        <w:pStyle w:val="Heading1"/>
        <w:keepNext w:val="0"/>
        <w:keepLines w:val="0"/>
        <w:spacing w:before="240" w:after="120" w:line="240" w:lineRule="auto"/>
        <w:rPr>
          <w:rFonts w:ascii="Times New Roman" w:eastAsia="Times New Roman" w:hAnsi="Times New Roman" w:cs="Times New Roman"/>
          <w:b/>
          <w:color w:val="000000"/>
          <w:sz w:val="24"/>
          <w:szCs w:val="24"/>
          <w:u w:val="single"/>
        </w:rPr>
      </w:pPr>
      <w:bookmarkStart w:id="8" w:name="_heading=h.6nuc7i6rkteb" w:colFirst="0" w:colLast="0"/>
      <w:bookmarkEnd w:id="8"/>
      <w:r>
        <w:rPr>
          <w:rFonts w:ascii="Times New Roman" w:eastAsia="Times New Roman" w:hAnsi="Times New Roman" w:cs="Times New Roman"/>
          <w:b/>
          <w:color w:val="000000"/>
          <w:sz w:val="24"/>
          <w:szCs w:val="24"/>
          <w:u w:val="single"/>
        </w:rPr>
        <w:t>NYU’s Calendar Policy on Religious Holidays</w:t>
      </w:r>
    </w:p>
    <w:p w14:paraId="34275562" w14:textId="77777777" w:rsidR="00BA4113" w:rsidRDefault="00000000">
      <w:pPr>
        <w:spacing w:before="120" w:after="0" w:line="240" w:lineRule="auto"/>
        <w:ind w:right="140" w:firstLine="720"/>
        <w:rPr>
          <w:rFonts w:ascii="Times New Roman" w:eastAsia="Times New Roman" w:hAnsi="Times New Roman" w:cs="Times New Roman"/>
        </w:rPr>
      </w:pPr>
      <w:r>
        <w:rPr>
          <w:rFonts w:ascii="Times New Roman" w:eastAsia="Times New Roman" w:hAnsi="Times New Roman" w:cs="Times New Roman"/>
        </w:rPr>
        <w:t>Students who are members of any religious group may, without penalty, miss class when required in compliance with their religious obligations. Any student absent from class because of his/her religious beliefs shall not be penalized for anything missed. Please inform me in writing if you need any accommodations.</w:t>
      </w:r>
    </w:p>
    <w:p w14:paraId="64036857" w14:textId="77777777" w:rsidR="00BA4113" w:rsidRDefault="00000000">
      <w:pPr>
        <w:pStyle w:val="Heading1"/>
        <w:keepNext w:val="0"/>
        <w:keepLines w:val="0"/>
        <w:spacing w:before="480" w:after="120" w:line="240" w:lineRule="auto"/>
        <w:rPr>
          <w:rFonts w:ascii="Times New Roman" w:eastAsia="Times New Roman" w:hAnsi="Times New Roman" w:cs="Times New Roman"/>
          <w:b/>
          <w:color w:val="000000"/>
          <w:sz w:val="24"/>
          <w:szCs w:val="24"/>
          <w:u w:val="single"/>
        </w:rPr>
      </w:pPr>
      <w:bookmarkStart w:id="9" w:name="_heading=h.oma6ktgh3bn2" w:colFirst="0" w:colLast="0"/>
      <w:bookmarkEnd w:id="9"/>
      <w:r>
        <w:rPr>
          <w:rFonts w:ascii="Times New Roman" w:eastAsia="Times New Roman" w:hAnsi="Times New Roman" w:cs="Times New Roman"/>
          <w:b/>
          <w:color w:val="000000"/>
          <w:sz w:val="24"/>
          <w:szCs w:val="24"/>
          <w:u w:val="single"/>
        </w:rPr>
        <w:t>Grading Scale and Rubric</w:t>
      </w:r>
    </w:p>
    <w:p w14:paraId="71C6C657" w14:textId="77777777" w:rsidR="00BA4113" w:rsidRDefault="00000000">
      <w:pPr>
        <w:spacing w:before="120" w:after="240" w:line="240" w:lineRule="auto"/>
        <w:rPr>
          <w:rFonts w:ascii="Times New Roman" w:eastAsia="Times New Roman" w:hAnsi="Times New Roman" w:cs="Times New Roman"/>
        </w:rPr>
      </w:pPr>
      <w:r>
        <w:rPr>
          <w:rFonts w:ascii="Times New Roman" w:eastAsia="Times New Roman" w:hAnsi="Times New Roman" w:cs="Times New Roman"/>
        </w:rPr>
        <w:t xml:space="preserve">Students will receive grades according to NYU’s Grading Policy: </w:t>
      </w:r>
    </w:p>
    <w:tbl>
      <w:tblPr>
        <w:tblStyle w:val="a"/>
        <w:tblW w:w="99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20" w:firstRow="1" w:lastRow="0" w:firstColumn="0" w:lastColumn="0" w:noHBand="0" w:noVBand="1"/>
      </w:tblPr>
      <w:tblGrid>
        <w:gridCol w:w="950"/>
        <w:gridCol w:w="956"/>
        <w:gridCol w:w="8027"/>
      </w:tblGrid>
      <w:tr w:rsidR="00BA4113" w14:paraId="03987401" w14:textId="77777777" w:rsidTr="004014AC">
        <w:trPr>
          <w:trHeight w:val="544"/>
        </w:trPr>
        <w:tc>
          <w:tcPr>
            <w:tcW w:w="950" w:type="dxa"/>
          </w:tcPr>
          <w:p w14:paraId="71B3F7A8" w14:textId="77777777" w:rsidR="00BA4113" w:rsidRDefault="00000000">
            <w:pPr>
              <w:rPr>
                <w:rFonts w:ascii="Times New Roman" w:eastAsia="Times New Roman" w:hAnsi="Times New Roman" w:cs="Times New Roman"/>
                <w:b/>
              </w:rPr>
            </w:pPr>
            <w:r>
              <w:rPr>
                <w:rFonts w:ascii="Times New Roman" w:eastAsia="Times New Roman" w:hAnsi="Times New Roman" w:cs="Times New Roman"/>
                <w:b/>
              </w:rPr>
              <w:t>Letter Grade</w:t>
            </w:r>
          </w:p>
        </w:tc>
        <w:tc>
          <w:tcPr>
            <w:tcW w:w="956" w:type="dxa"/>
          </w:tcPr>
          <w:p w14:paraId="2030D235" w14:textId="77777777" w:rsidR="00BA4113" w:rsidRDefault="00000000">
            <w:pPr>
              <w:rPr>
                <w:rFonts w:ascii="Times New Roman" w:eastAsia="Times New Roman" w:hAnsi="Times New Roman" w:cs="Times New Roman"/>
                <w:b/>
              </w:rPr>
            </w:pPr>
            <w:r>
              <w:rPr>
                <w:rFonts w:ascii="Times New Roman" w:eastAsia="Times New Roman" w:hAnsi="Times New Roman" w:cs="Times New Roman"/>
                <w:b/>
              </w:rPr>
              <w:t xml:space="preserve">Points </w:t>
            </w:r>
          </w:p>
        </w:tc>
        <w:tc>
          <w:tcPr>
            <w:tcW w:w="8027" w:type="dxa"/>
          </w:tcPr>
          <w:p w14:paraId="0BFCFD92" w14:textId="77777777" w:rsidR="00BA4113" w:rsidRDefault="00000000">
            <w:pPr>
              <w:rPr>
                <w:rFonts w:ascii="Times New Roman" w:eastAsia="Times New Roman" w:hAnsi="Times New Roman" w:cs="Times New Roman"/>
                <w:b/>
              </w:rPr>
            </w:pPr>
            <w:r>
              <w:rPr>
                <w:rFonts w:ascii="Times New Roman" w:eastAsia="Times New Roman" w:hAnsi="Times New Roman" w:cs="Times New Roman"/>
                <w:b/>
              </w:rPr>
              <w:t xml:space="preserve">Criteria </w:t>
            </w:r>
          </w:p>
        </w:tc>
      </w:tr>
      <w:tr w:rsidR="00BA4113" w14:paraId="73080B99" w14:textId="77777777" w:rsidTr="004014AC">
        <w:trPr>
          <w:trHeight w:val="832"/>
        </w:trPr>
        <w:tc>
          <w:tcPr>
            <w:tcW w:w="950" w:type="dxa"/>
          </w:tcPr>
          <w:p w14:paraId="0AA6F30E"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A</w:t>
            </w:r>
          </w:p>
        </w:tc>
        <w:tc>
          <w:tcPr>
            <w:tcW w:w="956" w:type="dxa"/>
          </w:tcPr>
          <w:p w14:paraId="41C70567"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4.0</w:t>
            </w:r>
          </w:p>
        </w:tc>
        <w:tc>
          <w:tcPr>
            <w:tcW w:w="8027" w:type="dxa"/>
          </w:tcPr>
          <w:p w14:paraId="0B27056E"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Excellent: Exceptional work for a graduate student. Work at this level is unusually thorough, well- reasoned, creative, methodologically sophisticated, and well written. Work is of exceptional, professional quality.</w:t>
            </w:r>
          </w:p>
        </w:tc>
      </w:tr>
      <w:tr w:rsidR="00BA4113" w14:paraId="51ED7E01" w14:textId="77777777" w:rsidTr="004014AC">
        <w:trPr>
          <w:trHeight w:val="1104"/>
        </w:trPr>
        <w:tc>
          <w:tcPr>
            <w:tcW w:w="950" w:type="dxa"/>
          </w:tcPr>
          <w:p w14:paraId="16B1E718"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A-</w:t>
            </w:r>
          </w:p>
        </w:tc>
        <w:tc>
          <w:tcPr>
            <w:tcW w:w="956" w:type="dxa"/>
          </w:tcPr>
          <w:p w14:paraId="41FB3698"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3.7</w:t>
            </w:r>
          </w:p>
        </w:tc>
        <w:tc>
          <w:tcPr>
            <w:tcW w:w="8027" w:type="dxa"/>
          </w:tcPr>
          <w:p w14:paraId="5D6A4BDE" w14:textId="77777777" w:rsidR="00BA4113" w:rsidRDefault="00000000">
            <w:pPr>
              <w:ind w:right="160"/>
              <w:jc w:val="both"/>
              <w:rPr>
                <w:rFonts w:ascii="Times New Roman" w:eastAsia="Times New Roman" w:hAnsi="Times New Roman" w:cs="Times New Roman"/>
              </w:rPr>
            </w:pPr>
            <w:r>
              <w:rPr>
                <w:rFonts w:ascii="Times New Roman" w:eastAsia="Times New Roman" w:hAnsi="Times New Roman" w:cs="Times New Roman"/>
              </w:rPr>
              <w:t>Very good: Very strong work for a graduate student. Work at this level shows signs of creativity, is thorough and well-reasoned, indicates strong understanding of appropriate methodological or analytical approaches, and meets professional standards.</w:t>
            </w:r>
          </w:p>
        </w:tc>
      </w:tr>
      <w:tr w:rsidR="00BA4113" w14:paraId="66880AE4" w14:textId="77777777" w:rsidTr="004014AC">
        <w:trPr>
          <w:trHeight w:val="832"/>
        </w:trPr>
        <w:tc>
          <w:tcPr>
            <w:tcW w:w="950" w:type="dxa"/>
          </w:tcPr>
          <w:p w14:paraId="1F07DDF5"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B+</w:t>
            </w:r>
          </w:p>
        </w:tc>
        <w:tc>
          <w:tcPr>
            <w:tcW w:w="956" w:type="dxa"/>
          </w:tcPr>
          <w:p w14:paraId="0BDAC192"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3.3</w:t>
            </w:r>
          </w:p>
        </w:tc>
        <w:tc>
          <w:tcPr>
            <w:tcW w:w="8027" w:type="dxa"/>
          </w:tcPr>
          <w:p w14:paraId="6240AF0A"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Good: Sound work for a graduate student; well-reasoned and thorough, methodologically sound. This is the graduate student grade that indicates the student has fully accomplished the basic objectives of the course.</w:t>
            </w:r>
          </w:p>
        </w:tc>
      </w:tr>
      <w:tr w:rsidR="00BA4113" w14:paraId="2C269C4C" w14:textId="77777777" w:rsidTr="004014AC">
        <w:trPr>
          <w:trHeight w:val="1403"/>
        </w:trPr>
        <w:tc>
          <w:tcPr>
            <w:tcW w:w="950" w:type="dxa"/>
          </w:tcPr>
          <w:p w14:paraId="0C16BB20"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lastRenderedPageBreak/>
              <w:t>B</w:t>
            </w:r>
          </w:p>
        </w:tc>
        <w:tc>
          <w:tcPr>
            <w:tcW w:w="956" w:type="dxa"/>
          </w:tcPr>
          <w:p w14:paraId="5F157C7C"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3.0</w:t>
            </w:r>
          </w:p>
        </w:tc>
        <w:tc>
          <w:tcPr>
            <w:tcW w:w="8027" w:type="dxa"/>
          </w:tcPr>
          <w:p w14:paraId="56559449"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 xml:space="preserve">Adequate: Competent work for a graduate student even though some weaknesses are evident. Demonstrates competency in the key course objectives but shows some indication that understanding of some important issues is less than complete. Methodological or analytical approaches used are </w:t>
            </w:r>
            <w:proofErr w:type="gramStart"/>
            <w:r>
              <w:rPr>
                <w:rFonts w:ascii="Times New Roman" w:eastAsia="Times New Roman" w:hAnsi="Times New Roman" w:cs="Times New Roman"/>
              </w:rPr>
              <w:t>adequate</w:t>
            </w:r>
            <w:proofErr w:type="gramEnd"/>
            <w:r>
              <w:rPr>
                <w:rFonts w:ascii="Times New Roman" w:eastAsia="Times New Roman" w:hAnsi="Times New Roman" w:cs="Times New Roman"/>
              </w:rPr>
              <w:t xml:space="preserve"> but student has not been thorough or has shown other weaknesses or limitations.</w:t>
            </w:r>
          </w:p>
        </w:tc>
      </w:tr>
      <w:tr w:rsidR="00BA4113" w14:paraId="19720671" w14:textId="77777777" w:rsidTr="004014AC">
        <w:trPr>
          <w:trHeight w:val="1340"/>
        </w:trPr>
        <w:tc>
          <w:tcPr>
            <w:tcW w:w="950" w:type="dxa"/>
          </w:tcPr>
          <w:p w14:paraId="6046D90A"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B-</w:t>
            </w:r>
          </w:p>
        </w:tc>
        <w:tc>
          <w:tcPr>
            <w:tcW w:w="956" w:type="dxa"/>
          </w:tcPr>
          <w:p w14:paraId="19012EC6"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2.7</w:t>
            </w:r>
          </w:p>
        </w:tc>
        <w:tc>
          <w:tcPr>
            <w:tcW w:w="8027" w:type="dxa"/>
          </w:tcPr>
          <w:p w14:paraId="5D6C291C" w14:textId="77777777" w:rsidR="00BA4113" w:rsidRDefault="00000000">
            <w:pPr>
              <w:rPr>
                <w:rFonts w:ascii="Times New Roman" w:eastAsia="Times New Roman" w:hAnsi="Times New Roman" w:cs="Times New Roman"/>
              </w:rPr>
            </w:pPr>
            <w:r>
              <w:rPr>
                <w:rFonts w:ascii="Times New Roman" w:eastAsia="Times New Roman" w:hAnsi="Times New Roman" w:cs="Times New Roman"/>
              </w:rPr>
              <w:t>Borderline: Weak work for a graduate student; meets the minimal expectations for a graduate student in the course. Understanding of salient issues is somewhat incomplete. Methodological or analytical work performed in the course is minimally adequate. Overall performance, if consistent in graduate courses, would not suffice to sustain graduate status in “good standing.”</w:t>
            </w:r>
          </w:p>
        </w:tc>
      </w:tr>
      <w:tr w:rsidR="004014AC" w14:paraId="0FE2E2AF" w14:textId="77777777" w:rsidTr="004014AC">
        <w:trPr>
          <w:trHeight w:val="272"/>
        </w:trPr>
        <w:tc>
          <w:tcPr>
            <w:tcW w:w="950" w:type="dxa"/>
          </w:tcPr>
          <w:p w14:paraId="466DECC6" w14:textId="77777777" w:rsidR="004014AC" w:rsidRDefault="004014AC">
            <w:pPr>
              <w:rPr>
                <w:rFonts w:ascii="Times New Roman" w:eastAsia="Times New Roman" w:hAnsi="Times New Roman" w:cs="Times New Roman"/>
              </w:rPr>
            </w:pPr>
            <w:r>
              <w:rPr>
                <w:rFonts w:ascii="Times New Roman" w:eastAsia="Times New Roman" w:hAnsi="Times New Roman" w:cs="Times New Roman"/>
              </w:rPr>
              <w:t>C+</w:t>
            </w:r>
          </w:p>
        </w:tc>
        <w:tc>
          <w:tcPr>
            <w:tcW w:w="956" w:type="dxa"/>
          </w:tcPr>
          <w:p w14:paraId="02214BF7" w14:textId="77777777" w:rsidR="004014AC" w:rsidRDefault="004014AC">
            <w:pPr>
              <w:rPr>
                <w:rFonts w:ascii="Times New Roman" w:eastAsia="Times New Roman" w:hAnsi="Times New Roman" w:cs="Times New Roman"/>
              </w:rPr>
            </w:pPr>
            <w:r>
              <w:rPr>
                <w:rFonts w:ascii="Times New Roman" w:eastAsia="Times New Roman" w:hAnsi="Times New Roman" w:cs="Times New Roman"/>
              </w:rPr>
              <w:t>2.3</w:t>
            </w:r>
          </w:p>
        </w:tc>
        <w:tc>
          <w:tcPr>
            <w:tcW w:w="8027" w:type="dxa"/>
          </w:tcPr>
          <w:p w14:paraId="526BE2A6" w14:textId="77777777" w:rsidR="004014AC" w:rsidRDefault="004014AC">
            <w:pPr>
              <w:rPr>
                <w:rFonts w:ascii="Times New Roman" w:eastAsia="Times New Roman" w:hAnsi="Times New Roman" w:cs="Times New Roman"/>
              </w:rPr>
            </w:pPr>
            <w:r>
              <w:rPr>
                <w:rFonts w:ascii="Times New Roman" w:eastAsia="Times New Roman" w:hAnsi="Times New Roman" w:cs="Times New Roman"/>
              </w:rPr>
              <w:t>Deficient: Inadequate work for a graduate student; does not meet the minimal expectations for a graduate student in the course. Work is inadequately developed or flawed by numerous errors and misunderstanding of important issues. Methodological or analytical work performed is weak and fails to demonstrate knowledge or technical competence expected of graduate students.</w:t>
            </w:r>
          </w:p>
        </w:tc>
      </w:tr>
      <w:tr w:rsidR="004014AC" w14:paraId="6565C7BD" w14:textId="77777777" w:rsidTr="004014AC">
        <w:trPr>
          <w:trHeight w:val="272"/>
        </w:trPr>
        <w:tc>
          <w:tcPr>
            <w:tcW w:w="950" w:type="dxa"/>
          </w:tcPr>
          <w:p w14:paraId="0E1F1F08" w14:textId="77777777" w:rsidR="004014AC" w:rsidRDefault="004014AC" w:rsidP="004014AC">
            <w:pPr>
              <w:rPr>
                <w:rFonts w:ascii="Times New Roman" w:eastAsia="Times New Roman" w:hAnsi="Times New Roman" w:cs="Times New Roman"/>
              </w:rPr>
            </w:pPr>
            <w:r>
              <w:rPr>
                <w:rFonts w:ascii="Times New Roman" w:eastAsia="Times New Roman" w:hAnsi="Times New Roman" w:cs="Times New Roman"/>
              </w:rPr>
              <w:t>C</w:t>
            </w:r>
          </w:p>
        </w:tc>
        <w:tc>
          <w:tcPr>
            <w:tcW w:w="956" w:type="dxa"/>
          </w:tcPr>
          <w:p w14:paraId="5AF62602" w14:textId="77777777" w:rsidR="004014AC" w:rsidRDefault="004014AC" w:rsidP="004014AC">
            <w:pPr>
              <w:rPr>
                <w:rFonts w:ascii="Times New Roman" w:eastAsia="Times New Roman" w:hAnsi="Times New Roman" w:cs="Times New Roman"/>
              </w:rPr>
            </w:pPr>
            <w:r>
              <w:rPr>
                <w:rFonts w:ascii="Times New Roman" w:eastAsia="Times New Roman" w:hAnsi="Times New Roman" w:cs="Times New Roman"/>
              </w:rPr>
              <w:t>2.0</w:t>
            </w:r>
          </w:p>
        </w:tc>
        <w:tc>
          <w:tcPr>
            <w:tcW w:w="8027" w:type="dxa"/>
          </w:tcPr>
          <w:p w14:paraId="301D0C18" w14:textId="14199D2D" w:rsidR="004014AC" w:rsidRDefault="004014AC" w:rsidP="004014AC">
            <w:pPr>
              <w:widowControl w:val="0"/>
              <w:pBdr>
                <w:top w:val="nil"/>
                <w:left w:val="nil"/>
                <w:bottom w:val="nil"/>
                <w:right w:val="nil"/>
                <w:between w:val="nil"/>
              </w:pBdr>
              <w:spacing w:line="276" w:lineRule="auto"/>
              <w:rPr>
                <w:rFonts w:ascii="Times New Roman" w:eastAsia="Times New Roman" w:hAnsi="Times New Roman" w:cs="Times New Roman"/>
              </w:rPr>
            </w:pPr>
            <w:r>
              <w:rPr>
                <w:rFonts w:ascii="Times New Roman" w:eastAsia="Times New Roman" w:hAnsi="Times New Roman" w:cs="Times New Roman"/>
              </w:rPr>
              <w:t>Deficient: Inadequate work for a graduate student; does not meet the minimal expectations for a graduate student in the course. Work is inadequately developed or flawed by numerous errors and misunderstanding of important issues. Methodological or analytical work performed is weak and fails to demonstrate knowledge or technical competence expected of graduate students.</w:t>
            </w:r>
          </w:p>
        </w:tc>
      </w:tr>
      <w:tr w:rsidR="004014AC" w14:paraId="04C0EBDF" w14:textId="77777777" w:rsidTr="004014AC">
        <w:trPr>
          <w:trHeight w:val="818"/>
        </w:trPr>
        <w:tc>
          <w:tcPr>
            <w:tcW w:w="950" w:type="dxa"/>
          </w:tcPr>
          <w:p w14:paraId="0CAC8165" w14:textId="77777777" w:rsidR="004014AC" w:rsidRDefault="004014AC" w:rsidP="004014AC">
            <w:pPr>
              <w:rPr>
                <w:rFonts w:ascii="Times New Roman" w:eastAsia="Times New Roman" w:hAnsi="Times New Roman" w:cs="Times New Roman"/>
              </w:rPr>
            </w:pPr>
            <w:r>
              <w:rPr>
                <w:rFonts w:ascii="Times New Roman" w:eastAsia="Times New Roman" w:hAnsi="Times New Roman" w:cs="Times New Roman"/>
              </w:rPr>
              <w:t>C-</w:t>
            </w:r>
          </w:p>
        </w:tc>
        <w:tc>
          <w:tcPr>
            <w:tcW w:w="956" w:type="dxa"/>
          </w:tcPr>
          <w:p w14:paraId="50ECAA1A" w14:textId="77777777" w:rsidR="004014AC" w:rsidRDefault="004014AC" w:rsidP="004014AC">
            <w:pPr>
              <w:rPr>
                <w:rFonts w:ascii="Times New Roman" w:eastAsia="Times New Roman" w:hAnsi="Times New Roman" w:cs="Times New Roman"/>
              </w:rPr>
            </w:pPr>
            <w:r>
              <w:rPr>
                <w:rFonts w:ascii="Times New Roman" w:eastAsia="Times New Roman" w:hAnsi="Times New Roman" w:cs="Times New Roman"/>
              </w:rPr>
              <w:t>1.7</w:t>
            </w:r>
          </w:p>
        </w:tc>
        <w:tc>
          <w:tcPr>
            <w:tcW w:w="8027" w:type="dxa"/>
          </w:tcPr>
          <w:p w14:paraId="224679F2" w14:textId="7F11C174" w:rsidR="004014AC" w:rsidRDefault="004014AC" w:rsidP="004014AC">
            <w:pPr>
              <w:widowControl w:val="0"/>
              <w:pBdr>
                <w:top w:val="nil"/>
                <w:left w:val="nil"/>
                <w:bottom w:val="nil"/>
                <w:right w:val="nil"/>
                <w:between w:val="nil"/>
              </w:pBdr>
              <w:spacing w:line="276" w:lineRule="auto"/>
              <w:rPr>
                <w:rFonts w:ascii="Times New Roman" w:eastAsia="Times New Roman" w:hAnsi="Times New Roman" w:cs="Times New Roman"/>
              </w:rPr>
            </w:pPr>
            <w:r>
              <w:rPr>
                <w:rFonts w:ascii="Times New Roman" w:eastAsia="Times New Roman" w:hAnsi="Times New Roman" w:cs="Times New Roman"/>
              </w:rPr>
              <w:t>Deficient: Inadequate work for a graduate student; does not meet the minimal expectations for a graduate student in the course. Work is inadequately developed or flawed by numerous errors and misunderstanding of important issues. Methodological or analytical work performed is weak and fails to demonstrate knowledge or technical competence expected of graduate students.</w:t>
            </w:r>
          </w:p>
        </w:tc>
      </w:tr>
      <w:tr w:rsidR="004014AC" w14:paraId="11116480" w14:textId="77777777" w:rsidTr="004E6F61">
        <w:trPr>
          <w:trHeight w:val="1124"/>
        </w:trPr>
        <w:tc>
          <w:tcPr>
            <w:tcW w:w="950" w:type="dxa"/>
          </w:tcPr>
          <w:p w14:paraId="78256AE7" w14:textId="77777777" w:rsidR="004014AC" w:rsidRDefault="004014AC" w:rsidP="004014AC">
            <w:pPr>
              <w:rPr>
                <w:rFonts w:ascii="Times New Roman" w:eastAsia="Times New Roman" w:hAnsi="Times New Roman" w:cs="Times New Roman"/>
              </w:rPr>
            </w:pPr>
            <w:r>
              <w:rPr>
                <w:rFonts w:ascii="Times New Roman" w:eastAsia="Times New Roman" w:hAnsi="Times New Roman" w:cs="Times New Roman"/>
              </w:rPr>
              <w:t>F</w:t>
            </w:r>
          </w:p>
        </w:tc>
        <w:tc>
          <w:tcPr>
            <w:tcW w:w="956" w:type="dxa"/>
          </w:tcPr>
          <w:p w14:paraId="4E831627" w14:textId="77777777" w:rsidR="004014AC" w:rsidRDefault="004014AC" w:rsidP="004014AC">
            <w:pPr>
              <w:rPr>
                <w:rFonts w:ascii="Times New Roman" w:eastAsia="Times New Roman" w:hAnsi="Times New Roman" w:cs="Times New Roman"/>
              </w:rPr>
            </w:pPr>
            <w:r>
              <w:rPr>
                <w:rFonts w:ascii="Times New Roman" w:eastAsia="Times New Roman" w:hAnsi="Times New Roman" w:cs="Times New Roman"/>
              </w:rPr>
              <w:t>0.0</w:t>
            </w:r>
          </w:p>
        </w:tc>
        <w:tc>
          <w:tcPr>
            <w:tcW w:w="8027" w:type="dxa"/>
          </w:tcPr>
          <w:p w14:paraId="15F5C849" w14:textId="77777777" w:rsidR="004014AC" w:rsidRDefault="004014AC" w:rsidP="004014AC">
            <w:pPr>
              <w:rPr>
                <w:rFonts w:ascii="Times New Roman" w:eastAsia="Times New Roman" w:hAnsi="Times New Roman" w:cs="Times New Roman"/>
              </w:rPr>
            </w:pPr>
            <w:r>
              <w:rPr>
                <w:rFonts w:ascii="Times New Roman" w:eastAsia="Times New Roman" w:hAnsi="Times New Roman" w:cs="Times New Roman"/>
              </w:rPr>
              <w:t>Work fails to meet even minimal expectations for course credit for a graduate student.</w:t>
            </w:r>
          </w:p>
        </w:tc>
      </w:tr>
    </w:tbl>
    <w:p w14:paraId="63493D04" w14:textId="77777777" w:rsidR="00BA4113" w:rsidRDefault="00BA4113">
      <w:pPr>
        <w:spacing w:before="80" w:after="0" w:line="240" w:lineRule="auto"/>
        <w:rPr>
          <w:rFonts w:ascii="Times New Roman" w:eastAsia="Times New Roman" w:hAnsi="Times New Roman" w:cs="Times New Roman"/>
        </w:rPr>
      </w:pPr>
    </w:p>
    <w:p w14:paraId="0BB6BD57" w14:textId="77777777" w:rsidR="00BA4113" w:rsidRDefault="00000000">
      <w:pPr>
        <w:spacing w:line="240" w:lineRule="auto"/>
        <w:rPr>
          <w:rFonts w:ascii="Times New Roman" w:eastAsia="Times New Roman" w:hAnsi="Times New Roman" w:cs="Times New Roman"/>
        </w:rPr>
      </w:pPr>
      <w:r>
        <w:rPr>
          <w:rFonts w:ascii="Times New Roman" w:eastAsia="Times New Roman" w:hAnsi="Times New Roman" w:cs="Times New Roman"/>
        </w:rPr>
        <w:t xml:space="preserve">Further information about the grading policy and appealing your grade can be found on Wagner’s website. </w:t>
      </w:r>
      <w:r>
        <w:t xml:space="preserve"> </w:t>
      </w:r>
    </w:p>
    <w:p w14:paraId="7C8A61E2" w14:textId="77777777" w:rsidR="00BA4113" w:rsidRDefault="00000000">
      <w:pPr>
        <w:spacing w:line="240" w:lineRule="auto"/>
        <w:ind w:left="360" w:hanging="360"/>
        <w:jc w:val="center"/>
        <w:rPr>
          <w:rFonts w:ascii="Times New Roman" w:eastAsia="Times New Roman" w:hAnsi="Times New Roman" w:cs="Times New Roman"/>
          <w:b/>
          <w:u w:val="single"/>
        </w:rPr>
      </w:pPr>
      <w:r>
        <w:rPr>
          <w:rFonts w:ascii="Times New Roman" w:eastAsia="Times New Roman" w:hAnsi="Times New Roman" w:cs="Times New Roman"/>
          <w:b/>
          <w:u w:val="single"/>
        </w:rPr>
        <w:t xml:space="preserve">Assignments and Schedule </w:t>
      </w:r>
    </w:p>
    <w:p w14:paraId="63DA0C8B" w14:textId="77777777" w:rsidR="00BA4113" w:rsidRDefault="00000000">
      <w:pPr>
        <w:numPr>
          <w:ilvl w:val="0"/>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 xml:space="preserve">1/27/25 – Introduction to Local Zoning </w:t>
      </w:r>
    </w:p>
    <w:p w14:paraId="3F200AA3" w14:textId="77777777" w:rsidR="00BA4113" w:rsidRDefault="00000000">
      <w:pPr>
        <w:spacing w:after="200" w:line="240" w:lineRule="auto"/>
        <w:ind w:firstLine="360"/>
        <w:rPr>
          <w:rFonts w:ascii="Times New Roman" w:eastAsia="Times New Roman" w:hAnsi="Times New Roman" w:cs="Times New Roman"/>
          <w:u w:val="single"/>
        </w:rPr>
      </w:pPr>
      <w:r>
        <w:rPr>
          <w:rFonts w:ascii="Times New Roman" w:eastAsia="Times New Roman" w:hAnsi="Times New Roman" w:cs="Times New Roman"/>
          <w:u w:val="single"/>
        </w:rPr>
        <w:t>Readings:</w:t>
      </w:r>
    </w:p>
    <w:p w14:paraId="4B44D665" w14:textId="77777777" w:rsidR="00BA4113" w:rsidRDefault="00000000">
      <w:pPr>
        <w:numPr>
          <w:ilvl w:val="0"/>
          <w:numId w:val="2"/>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United States Department of Commerce, </w:t>
      </w:r>
      <w:r>
        <w:rPr>
          <w:rFonts w:ascii="Times New Roman" w:eastAsia="Times New Roman" w:hAnsi="Times New Roman" w:cs="Times New Roman"/>
          <w:i/>
          <w:color w:val="000000"/>
        </w:rPr>
        <w:t xml:space="preserve">A Standard State Zoning Enabling Act </w:t>
      </w:r>
      <w:r>
        <w:rPr>
          <w:rFonts w:ascii="Times New Roman" w:eastAsia="Times New Roman" w:hAnsi="Times New Roman" w:cs="Times New Roman"/>
          <w:color w:val="000000"/>
        </w:rPr>
        <w:t xml:space="preserve">(Washington DC: Government Printing Office, 1924). </w:t>
      </w:r>
    </w:p>
    <w:p w14:paraId="2AE1CFF6" w14:textId="77777777" w:rsidR="00BA4113" w:rsidRDefault="00000000">
      <w:pPr>
        <w:numPr>
          <w:ilvl w:val="0"/>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 xml:space="preserve">2/3/25 – Precursors to Zoning </w:t>
      </w:r>
    </w:p>
    <w:p w14:paraId="33F3E018" w14:textId="77777777" w:rsidR="00BA4113" w:rsidRDefault="00000000">
      <w:pPr>
        <w:spacing w:after="200" w:line="240" w:lineRule="auto"/>
        <w:ind w:firstLine="360"/>
        <w:rPr>
          <w:rFonts w:ascii="Times New Roman" w:eastAsia="Times New Roman" w:hAnsi="Times New Roman" w:cs="Times New Roman"/>
          <w:u w:val="single"/>
        </w:rPr>
      </w:pPr>
      <w:r>
        <w:rPr>
          <w:rFonts w:ascii="Times New Roman" w:eastAsia="Times New Roman" w:hAnsi="Times New Roman" w:cs="Times New Roman"/>
          <w:u w:val="single"/>
        </w:rPr>
        <w:t xml:space="preserve">Readings </w:t>
      </w:r>
    </w:p>
    <w:p w14:paraId="2DE8B663" w14:textId="77777777" w:rsidR="00BA4113" w:rsidRDefault="00000000">
      <w:pPr>
        <w:numPr>
          <w:ilvl w:val="0"/>
          <w:numId w:val="3"/>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 xml:space="preserve">Joseph Gordon Hylton, </w:t>
      </w:r>
      <w:r>
        <w:rPr>
          <w:rFonts w:ascii="Times New Roman" w:eastAsia="Times New Roman" w:hAnsi="Times New Roman" w:cs="Times New Roman"/>
          <w:i/>
          <w:color w:val="000000"/>
        </w:rPr>
        <w:t>Prelude to Euclid: The United States Supreme Court and the Constitutionality of Land Use Regulation, 1900-1920</w:t>
      </w:r>
      <w:r>
        <w:rPr>
          <w:rFonts w:ascii="Times New Roman" w:eastAsia="Times New Roman" w:hAnsi="Times New Roman" w:cs="Times New Roman"/>
          <w:color w:val="000000"/>
        </w:rPr>
        <w:t xml:space="preserve">, 3 Wash. U. J. L. &amp; </w:t>
      </w:r>
      <w:proofErr w:type="spellStart"/>
      <w:r>
        <w:rPr>
          <w:rFonts w:ascii="Times New Roman" w:eastAsia="Times New Roman" w:hAnsi="Times New Roman" w:cs="Times New Roman"/>
          <w:color w:val="000000"/>
        </w:rPr>
        <w:t>Pol’y</w:t>
      </w:r>
      <w:proofErr w:type="spellEnd"/>
      <w:r>
        <w:rPr>
          <w:rFonts w:ascii="Times New Roman" w:eastAsia="Times New Roman" w:hAnsi="Times New Roman" w:cs="Times New Roman"/>
          <w:color w:val="000000"/>
        </w:rPr>
        <w:t xml:space="preserve"> 1 (2000).  </w:t>
      </w:r>
    </w:p>
    <w:p w14:paraId="53A9BA3F" w14:textId="77777777" w:rsidR="00BA4113" w:rsidRDefault="00000000">
      <w:pPr>
        <w:numPr>
          <w:ilvl w:val="0"/>
          <w:numId w:val="3"/>
        </w:numPr>
        <w:spacing w:after="200" w:line="240" w:lineRule="auto"/>
        <w:rPr>
          <w:rFonts w:ascii="Times New Roman" w:eastAsia="Times New Roman" w:hAnsi="Times New Roman" w:cs="Times New Roman"/>
        </w:rPr>
      </w:pPr>
      <w:r>
        <w:rPr>
          <w:rFonts w:ascii="Times New Roman" w:eastAsia="Times New Roman" w:hAnsi="Times New Roman" w:cs="Times New Roman"/>
          <w:i/>
        </w:rPr>
        <w:lastRenderedPageBreak/>
        <w:t>Pennsylvania Coal v. Mahon</w:t>
      </w:r>
      <w:r>
        <w:rPr>
          <w:rFonts w:ascii="Times New Roman" w:eastAsia="Times New Roman" w:hAnsi="Times New Roman" w:cs="Times New Roman"/>
        </w:rPr>
        <w:t xml:space="preserve">, 260 U.S. 393 (1922). </w:t>
      </w:r>
    </w:p>
    <w:p w14:paraId="315AEB43" w14:textId="77777777" w:rsidR="00BA4113" w:rsidRDefault="00000000">
      <w:pPr>
        <w:numPr>
          <w:ilvl w:val="0"/>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2/10/25 – Zoning &amp; Ra</w:t>
      </w:r>
      <w:r>
        <w:rPr>
          <w:rFonts w:ascii="Times New Roman" w:eastAsia="Times New Roman" w:hAnsi="Times New Roman" w:cs="Times New Roman"/>
          <w:b/>
        </w:rPr>
        <w:t xml:space="preserve">ce </w:t>
      </w:r>
    </w:p>
    <w:p w14:paraId="08004428" w14:textId="77777777" w:rsidR="00BA4113" w:rsidRDefault="00000000">
      <w:pPr>
        <w:spacing w:after="200" w:line="240" w:lineRule="auto"/>
        <w:ind w:left="360"/>
        <w:rPr>
          <w:rFonts w:ascii="Times New Roman" w:eastAsia="Times New Roman" w:hAnsi="Times New Roman" w:cs="Times New Roman"/>
          <w:u w:val="single"/>
        </w:rPr>
      </w:pPr>
      <w:r>
        <w:rPr>
          <w:rFonts w:ascii="Times New Roman" w:eastAsia="Times New Roman" w:hAnsi="Times New Roman" w:cs="Times New Roman"/>
          <w:u w:val="single"/>
        </w:rPr>
        <w:t xml:space="preserve">Readings </w:t>
      </w:r>
    </w:p>
    <w:p w14:paraId="0D436BB4" w14:textId="77777777" w:rsidR="00BA4113" w:rsidRDefault="00000000">
      <w:pPr>
        <w:numPr>
          <w:ilvl w:val="1"/>
          <w:numId w:val="6"/>
        </w:numPr>
        <w:spacing w:after="200" w:line="240" w:lineRule="auto"/>
        <w:rPr>
          <w:rFonts w:ascii="Times New Roman" w:eastAsia="Times New Roman" w:hAnsi="Times New Roman" w:cs="Times New Roman"/>
        </w:rPr>
      </w:pPr>
      <w:r>
        <w:rPr>
          <w:rFonts w:ascii="Times New Roman" w:eastAsia="Times New Roman" w:hAnsi="Times New Roman" w:cs="Times New Roman"/>
        </w:rPr>
        <w:t>Richard Rothstein, THE COLOR OF LAW (Chapter 3, preface optional)</w:t>
      </w:r>
    </w:p>
    <w:p w14:paraId="6E87A291" w14:textId="77777777" w:rsidR="00BA4113" w:rsidRDefault="00000000">
      <w:pPr>
        <w:numPr>
          <w:ilvl w:val="1"/>
          <w:numId w:val="6"/>
        </w:numPr>
        <w:spacing w:after="200" w:line="240" w:lineRule="auto"/>
        <w:rPr>
          <w:rFonts w:ascii="Times New Roman" w:eastAsia="Times New Roman" w:hAnsi="Times New Roman" w:cs="Times New Roman"/>
        </w:rPr>
      </w:pPr>
      <w:r>
        <w:rPr>
          <w:rFonts w:ascii="Times New Roman" w:eastAsia="Times New Roman" w:hAnsi="Times New Roman" w:cs="Times New Roman"/>
          <w:i/>
        </w:rPr>
        <w:t>Buchanan v. Warley</w:t>
      </w:r>
      <w:r>
        <w:rPr>
          <w:rFonts w:ascii="Times New Roman" w:eastAsia="Times New Roman" w:hAnsi="Times New Roman" w:cs="Times New Roman"/>
        </w:rPr>
        <w:t>, 245 U.S. 60 (1917) (excerpt)</w:t>
      </w:r>
    </w:p>
    <w:p w14:paraId="64748E22" w14:textId="77777777" w:rsidR="00BA4113" w:rsidRDefault="00000000">
      <w:pPr>
        <w:numPr>
          <w:ilvl w:val="0"/>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b/>
        </w:rPr>
        <w:t xml:space="preserve">2/18/25 (Legislative Monday) – </w:t>
      </w:r>
      <w:r>
        <w:rPr>
          <w:rFonts w:ascii="Times New Roman" w:eastAsia="Times New Roman" w:hAnsi="Times New Roman" w:cs="Times New Roman"/>
          <w:b/>
          <w:i/>
          <w:color w:val="000000"/>
        </w:rPr>
        <w:t xml:space="preserve">Euclid </w:t>
      </w:r>
      <w:r>
        <w:rPr>
          <w:rFonts w:ascii="Times New Roman" w:eastAsia="Times New Roman" w:hAnsi="Times New Roman" w:cs="Times New Roman"/>
          <w:b/>
          <w:color w:val="000000"/>
        </w:rPr>
        <w:t xml:space="preserve">and the Advent of </w:t>
      </w:r>
      <w:r>
        <w:rPr>
          <w:rFonts w:ascii="Times New Roman" w:eastAsia="Times New Roman" w:hAnsi="Times New Roman" w:cs="Times New Roman"/>
          <w:b/>
        </w:rPr>
        <w:t xml:space="preserve">Modern </w:t>
      </w:r>
      <w:r>
        <w:rPr>
          <w:rFonts w:ascii="Times New Roman" w:eastAsia="Times New Roman" w:hAnsi="Times New Roman" w:cs="Times New Roman"/>
          <w:b/>
          <w:color w:val="000000"/>
        </w:rPr>
        <w:t xml:space="preserve">Zoning Regulation </w:t>
      </w:r>
    </w:p>
    <w:p w14:paraId="667D991F" w14:textId="77777777" w:rsidR="00BA4113" w:rsidRDefault="00000000">
      <w:pPr>
        <w:spacing w:after="200" w:line="240" w:lineRule="auto"/>
        <w:ind w:firstLine="360"/>
        <w:rPr>
          <w:rFonts w:ascii="Times New Roman" w:eastAsia="Times New Roman" w:hAnsi="Times New Roman" w:cs="Times New Roman"/>
          <w:u w:val="single"/>
        </w:rPr>
      </w:pPr>
      <w:r>
        <w:rPr>
          <w:rFonts w:ascii="Times New Roman" w:eastAsia="Times New Roman" w:hAnsi="Times New Roman" w:cs="Times New Roman"/>
          <w:u w:val="single"/>
        </w:rPr>
        <w:t xml:space="preserve">Readings </w:t>
      </w:r>
    </w:p>
    <w:p w14:paraId="7B68343E" w14:textId="77777777" w:rsidR="00BA4113" w:rsidRDefault="00000000">
      <w:pPr>
        <w:numPr>
          <w:ilvl w:val="0"/>
          <w:numId w:val="4"/>
        </w:numPr>
        <w:pBdr>
          <w:top w:val="nil"/>
          <w:left w:val="nil"/>
          <w:bottom w:val="nil"/>
          <w:right w:val="nil"/>
          <w:between w:val="nil"/>
        </w:pBdr>
        <w:spacing w:after="200" w:line="240" w:lineRule="auto"/>
        <w:rPr>
          <w:color w:val="000000"/>
        </w:rPr>
      </w:pPr>
      <w:r>
        <w:rPr>
          <w:rFonts w:ascii="Times New Roman" w:eastAsia="Times New Roman" w:hAnsi="Times New Roman" w:cs="Times New Roman"/>
          <w:i/>
          <w:color w:val="000000"/>
        </w:rPr>
        <w:t>Vill. of Euclid, Ohio v. Ambler Realty Co</w:t>
      </w:r>
      <w:r>
        <w:rPr>
          <w:rFonts w:ascii="Times New Roman" w:eastAsia="Times New Roman" w:hAnsi="Times New Roman" w:cs="Times New Roman"/>
          <w:color w:val="000000"/>
        </w:rPr>
        <w:t xml:space="preserve">., 272 U.S. 365 (1926). </w:t>
      </w:r>
    </w:p>
    <w:p w14:paraId="67A923A2" w14:textId="77777777" w:rsidR="00BA4113" w:rsidRDefault="00000000">
      <w:pPr>
        <w:numPr>
          <w:ilvl w:val="0"/>
          <w:numId w:val="4"/>
        </w:numPr>
        <w:pBdr>
          <w:top w:val="nil"/>
          <w:left w:val="nil"/>
          <w:bottom w:val="nil"/>
          <w:right w:val="nil"/>
          <w:between w:val="nil"/>
        </w:pBdr>
        <w:spacing w:after="200" w:line="240" w:lineRule="auto"/>
        <w:rPr>
          <w:color w:val="000000"/>
        </w:rPr>
      </w:pPr>
      <w:proofErr w:type="spellStart"/>
      <w:r>
        <w:rPr>
          <w:rFonts w:ascii="Times New Roman" w:eastAsia="Times New Roman" w:hAnsi="Times New Roman" w:cs="Times New Roman"/>
          <w:i/>
          <w:color w:val="000000"/>
        </w:rPr>
        <w:t>Nectow</w:t>
      </w:r>
      <w:proofErr w:type="spellEnd"/>
      <w:r>
        <w:rPr>
          <w:rFonts w:ascii="Times New Roman" w:eastAsia="Times New Roman" w:hAnsi="Times New Roman" w:cs="Times New Roman"/>
          <w:i/>
          <w:color w:val="000000"/>
        </w:rPr>
        <w:t xml:space="preserve"> v. City of Cambridge</w:t>
      </w:r>
      <w:r>
        <w:rPr>
          <w:rFonts w:ascii="Times New Roman" w:eastAsia="Times New Roman" w:hAnsi="Times New Roman" w:cs="Times New Roman"/>
          <w:color w:val="000000"/>
        </w:rPr>
        <w:t xml:space="preserve">, 277 U.S. 183 (1928). </w:t>
      </w:r>
    </w:p>
    <w:p w14:paraId="5EC8FA75" w14:textId="77777777" w:rsidR="00BA4113" w:rsidRDefault="00000000">
      <w:pPr>
        <w:numPr>
          <w:ilvl w:val="0"/>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b/>
        </w:rPr>
        <w:t xml:space="preserve">2/24/25 – </w:t>
      </w:r>
      <w:r>
        <w:rPr>
          <w:rFonts w:ascii="Times New Roman" w:eastAsia="Times New Roman" w:hAnsi="Times New Roman" w:cs="Times New Roman"/>
          <w:b/>
          <w:color w:val="000000"/>
        </w:rPr>
        <w:t xml:space="preserve">Limits to Zoning: Due Process and the Comprehensive Plan </w:t>
      </w:r>
    </w:p>
    <w:p w14:paraId="5F3D36F7" w14:textId="77777777" w:rsidR="00BA4113" w:rsidRDefault="00000000">
      <w:pPr>
        <w:spacing w:after="200" w:line="240" w:lineRule="auto"/>
        <w:ind w:firstLine="360"/>
        <w:rPr>
          <w:rFonts w:ascii="Times New Roman" w:eastAsia="Times New Roman" w:hAnsi="Times New Roman" w:cs="Times New Roman"/>
          <w:u w:val="single"/>
        </w:rPr>
      </w:pPr>
      <w:r>
        <w:rPr>
          <w:rFonts w:ascii="Times New Roman" w:eastAsia="Times New Roman" w:hAnsi="Times New Roman" w:cs="Times New Roman"/>
          <w:u w:val="single"/>
        </w:rPr>
        <w:t xml:space="preserve">Readings </w:t>
      </w:r>
    </w:p>
    <w:p w14:paraId="4A72811D" w14:textId="77777777" w:rsidR="00BA4113" w:rsidRDefault="00000000">
      <w:pPr>
        <w:numPr>
          <w:ilvl w:val="0"/>
          <w:numId w:val="5"/>
        </w:numPr>
        <w:pBdr>
          <w:top w:val="nil"/>
          <w:left w:val="nil"/>
          <w:bottom w:val="nil"/>
          <w:right w:val="nil"/>
          <w:between w:val="nil"/>
        </w:pBdr>
        <w:spacing w:after="200" w:line="240" w:lineRule="auto"/>
        <w:rPr>
          <w:color w:val="000000"/>
        </w:rPr>
      </w:pPr>
      <w:r>
        <w:rPr>
          <w:rFonts w:ascii="Times New Roman" w:eastAsia="Times New Roman" w:hAnsi="Times New Roman" w:cs="Times New Roman"/>
          <w:color w:val="000000"/>
        </w:rPr>
        <w:t xml:space="preserve">New York Department of State, </w:t>
      </w:r>
      <w:r>
        <w:rPr>
          <w:rFonts w:ascii="Times New Roman" w:eastAsia="Times New Roman" w:hAnsi="Times New Roman" w:cs="Times New Roman"/>
          <w:i/>
          <w:color w:val="000000"/>
        </w:rPr>
        <w:t xml:space="preserve">Zoning and the Comprehensive Plan </w:t>
      </w:r>
      <w:r>
        <w:rPr>
          <w:rFonts w:ascii="Times New Roman" w:eastAsia="Times New Roman" w:hAnsi="Times New Roman" w:cs="Times New Roman"/>
          <w:color w:val="000000"/>
        </w:rPr>
        <w:t xml:space="preserve">(2015). </w:t>
      </w:r>
    </w:p>
    <w:p w14:paraId="25D01825" w14:textId="77777777" w:rsidR="00BA4113" w:rsidRDefault="00000000">
      <w:pPr>
        <w:numPr>
          <w:ilvl w:val="0"/>
          <w:numId w:val="5"/>
        </w:numPr>
        <w:pBdr>
          <w:top w:val="nil"/>
          <w:left w:val="nil"/>
          <w:bottom w:val="nil"/>
          <w:right w:val="nil"/>
          <w:between w:val="nil"/>
        </w:pBdr>
        <w:spacing w:after="200" w:line="240" w:lineRule="auto"/>
        <w:rPr>
          <w:i/>
        </w:rPr>
      </w:pPr>
      <w:r>
        <w:rPr>
          <w:rFonts w:ascii="Times New Roman" w:eastAsia="Times New Roman" w:hAnsi="Times New Roman" w:cs="Times New Roman"/>
          <w:i/>
        </w:rPr>
        <w:t>Udell v. Haas</w:t>
      </w:r>
      <w:r>
        <w:rPr>
          <w:rFonts w:ascii="Times New Roman" w:eastAsia="Times New Roman" w:hAnsi="Times New Roman" w:cs="Times New Roman"/>
        </w:rPr>
        <w:t xml:space="preserve">, 21 N.Y.2d 463 (1968). </w:t>
      </w:r>
    </w:p>
    <w:p w14:paraId="3B3AF86B" w14:textId="77777777" w:rsidR="00BA4113" w:rsidRDefault="00000000">
      <w:pPr>
        <w:numPr>
          <w:ilvl w:val="0"/>
          <w:numId w:val="5"/>
        </w:numPr>
        <w:pBdr>
          <w:top w:val="nil"/>
          <w:left w:val="nil"/>
          <w:bottom w:val="nil"/>
          <w:right w:val="nil"/>
          <w:between w:val="nil"/>
        </w:pBdr>
        <w:shd w:val="clear" w:color="auto" w:fill="FFFFFF"/>
        <w:spacing w:after="200" w:line="240" w:lineRule="auto"/>
        <w:rPr>
          <w:color w:val="000000"/>
        </w:rPr>
      </w:pPr>
      <w:r>
        <w:rPr>
          <w:rFonts w:ascii="Times New Roman" w:eastAsia="Times New Roman" w:hAnsi="Times New Roman" w:cs="Times New Roman"/>
          <w:i/>
          <w:color w:val="000000"/>
          <w:highlight w:val="white"/>
        </w:rPr>
        <w:t>Asian Americans for Equal. v. Koch</w:t>
      </w:r>
      <w:r>
        <w:rPr>
          <w:rFonts w:ascii="Times New Roman" w:eastAsia="Times New Roman" w:hAnsi="Times New Roman" w:cs="Times New Roman"/>
          <w:color w:val="000000"/>
          <w:highlight w:val="white"/>
        </w:rPr>
        <w:t>, 72 N.Y.2d 121 (1988)</w:t>
      </w:r>
      <w:r>
        <w:rPr>
          <w:rFonts w:ascii="Times New Roman" w:eastAsia="Times New Roman" w:hAnsi="Times New Roman" w:cs="Times New Roman"/>
          <w:color w:val="000000"/>
        </w:rPr>
        <w:t xml:space="preserve">. </w:t>
      </w:r>
    </w:p>
    <w:p w14:paraId="6058E474" w14:textId="77777777" w:rsidR="00BA4113" w:rsidRDefault="00000000">
      <w:pPr>
        <w:numPr>
          <w:ilvl w:val="0"/>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b/>
        </w:rPr>
        <w:t xml:space="preserve">3/3/25 – </w:t>
      </w:r>
      <w:r>
        <w:rPr>
          <w:rFonts w:ascii="Times New Roman" w:eastAsia="Times New Roman" w:hAnsi="Times New Roman" w:cs="Times New Roman"/>
          <w:b/>
          <w:color w:val="000000"/>
        </w:rPr>
        <w:t>Limits to Zoning: Takings &amp; Eminent Domain</w:t>
      </w:r>
    </w:p>
    <w:p w14:paraId="4D413033" w14:textId="77777777" w:rsidR="00BA4113" w:rsidRDefault="00000000">
      <w:pPr>
        <w:pBdr>
          <w:top w:val="nil"/>
          <w:left w:val="nil"/>
          <w:bottom w:val="nil"/>
          <w:right w:val="nil"/>
          <w:between w:val="nil"/>
        </w:pBdr>
        <w:spacing w:after="20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Readings</w:t>
      </w:r>
    </w:p>
    <w:p w14:paraId="0975DB27" w14:textId="77777777" w:rsidR="003D19A9" w:rsidRPr="003D19A9" w:rsidRDefault="00000000" w:rsidP="003D19A9">
      <w:pPr>
        <w:numPr>
          <w:ilvl w:val="1"/>
          <w:numId w:val="6"/>
        </w:numPr>
        <w:pBdr>
          <w:top w:val="nil"/>
          <w:left w:val="nil"/>
          <w:bottom w:val="nil"/>
          <w:right w:val="nil"/>
          <w:between w:val="nil"/>
        </w:pBdr>
        <w:spacing w:after="200" w:line="240" w:lineRule="auto"/>
        <w:rPr>
          <w:rFonts w:ascii="Times New Roman" w:eastAsia="Times New Roman" w:hAnsi="Times New Roman" w:cs="Times New Roman"/>
        </w:rPr>
      </w:pPr>
      <w:r>
        <w:rPr>
          <w:rFonts w:ascii="Times New Roman" w:eastAsia="Times New Roman" w:hAnsi="Times New Roman" w:cs="Times New Roman"/>
          <w:i/>
          <w:color w:val="000000"/>
        </w:rPr>
        <w:t>Berman v. Parker</w:t>
      </w:r>
      <w:r>
        <w:rPr>
          <w:rFonts w:ascii="Times New Roman" w:eastAsia="Times New Roman" w:hAnsi="Times New Roman" w:cs="Times New Roman"/>
          <w:color w:val="000000"/>
        </w:rPr>
        <w:t xml:space="preserve">, 348 U.S. 26 (1954). </w:t>
      </w:r>
    </w:p>
    <w:p w14:paraId="1EE1322C" w14:textId="120E629A" w:rsidR="003D19A9" w:rsidRPr="004F0CBD" w:rsidRDefault="003D19A9" w:rsidP="003D19A9">
      <w:pPr>
        <w:numPr>
          <w:ilvl w:val="1"/>
          <w:numId w:val="6"/>
        </w:numPr>
        <w:pBdr>
          <w:top w:val="nil"/>
          <w:left w:val="nil"/>
          <w:bottom w:val="nil"/>
          <w:right w:val="nil"/>
          <w:between w:val="nil"/>
        </w:pBdr>
        <w:spacing w:after="200" w:line="240" w:lineRule="auto"/>
        <w:rPr>
          <w:rFonts w:ascii="Times New Roman" w:eastAsia="Times New Roman" w:hAnsi="Times New Roman" w:cs="Times New Roman"/>
          <w:color w:val="0070C0"/>
        </w:rPr>
      </w:pPr>
      <w:r w:rsidRPr="004F0CBD">
        <w:rPr>
          <w:rFonts w:ascii="Times New Roman" w:hAnsi="Times New Roman" w:cs="Times New Roman"/>
          <w:i/>
          <w:color w:val="0070C0"/>
        </w:rPr>
        <w:t>Hawaii Housing Authority v Midkiff</w:t>
      </w:r>
      <w:r w:rsidRPr="004F0CBD">
        <w:rPr>
          <w:rFonts w:ascii="Times New Roman" w:hAnsi="Times New Roman" w:cs="Times New Roman"/>
          <w:iCs/>
          <w:color w:val="0070C0"/>
        </w:rPr>
        <w:t xml:space="preserve">, </w:t>
      </w:r>
      <w:r w:rsidRPr="004F0CBD">
        <w:rPr>
          <w:rFonts w:ascii="Times New Roman" w:hAnsi="Times New Roman" w:cs="Times New Roman"/>
          <w:color w:val="0070C0"/>
        </w:rPr>
        <w:t xml:space="preserve">467 U.S. 229 </w:t>
      </w:r>
      <w:r w:rsidRPr="004F0CBD">
        <w:rPr>
          <w:rFonts w:ascii="Times New Roman" w:eastAsia="Times New Roman" w:hAnsi="Times New Roman" w:cs="Times New Roman"/>
          <w:color w:val="0070C0"/>
        </w:rPr>
        <w:t>(1984).</w:t>
      </w:r>
    </w:p>
    <w:p w14:paraId="3F5B915B" w14:textId="4022D063" w:rsidR="008964AD" w:rsidRPr="008964AD" w:rsidRDefault="008964AD" w:rsidP="008964AD">
      <w:pPr>
        <w:numPr>
          <w:ilvl w:val="1"/>
          <w:numId w:val="6"/>
        </w:numPr>
        <w:pBdr>
          <w:top w:val="nil"/>
          <w:left w:val="nil"/>
          <w:bottom w:val="nil"/>
          <w:right w:val="nil"/>
          <w:between w:val="nil"/>
        </w:pBdr>
        <w:spacing w:after="200" w:line="240" w:lineRule="auto"/>
        <w:rPr>
          <w:rFonts w:ascii="Times New Roman" w:eastAsia="Times New Roman" w:hAnsi="Times New Roman" w:cs="Times New Roman"/>
        </w:rPr>
      </w:pPr>
      <w:r>
        <w:rPr>
          <w:rFonts w:ascii="Times New Roman" w:eastAsia="Times New Roman" w:hAnsi="Times New Roman" w:cs="Times New Roman"/>
          <w:i/>
          <w:color w:val="000000"/>
        </w:rPr>
        <w:t>Kelo v. City of New London, Conn.</w:t>
      </w:r>
      <w:r>
        <w:rPr>
          <w:rFonts w:ascii="Times New Roman" w:eastAsia="Times New Roman" w:hAnsi="Times New Roman" w:cs="Times New Roman"/>
          <w:color w:val="000000"/>
        </w:rPr>
        <w:t>, 545 U.S. 469 (2005) (excerpt</w:t>
      </w:r>
      <w:r>
        <w:rPr>
          <w:rFonts w:ascii="Times New Roman" w:eastAsia="Times New Roman" w:hAnsi="Times New Roman" w:cs="Times New Roman"/>
        </w:rPr>
        <w:t>)</w:t>
      </w:r>
      <w:r>
        <w:rPr>
          <w:rFonts w:ascii="Times New Roman" w:eastAsia="Times New Roman" w:hAnsi="Times New Roman" w:cs="Times New Roman"/>
          <w:color w:val="000000"/>
        </w:rPr>
        <w:t xml:space="preserve">. </w:t>
      </w:r>
    </w:p>
    <w:p w14:paraId="26FE5AB2" w14:textId="436B8110" w:rsidR="00BA4113" w:rsidRDefault="00000000">
      <w:pPr>
        <w:numPr>
          <w:ilvl w:val="0"/>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b/>
        </w:rPr>
        <w:t xml:space="preserve">3/10/25 – </w:t>
      </w:r>
      <w:r>
        <w:rPr>
          <w:rFonts w:ascii="Times New Roman" w:eastAsia="Times New Roman" w:hAnsi="Times New Roman" w:cs="Times New Roman"/>
          <w:b/>
          <w:color w:val="000000"/>
        </w:rPr>
        <w:t xml:space="preserve">Limits to Zoning: Regulatory Takings </w:t>
      </w:r>
      <w:r w:rsidR="009C16B4">
        <w:rPr>
          <w:rFonts w:ascii="Times New Roman" w:eastAsia="Times New Roman" w:hAnsi="Times New Roman" w:cs="Times New Roman"/>
          <w:b/>
          <w:color w:val="000000"/>
        </w:rPr>
        <w:t>&amp; Exactions</w:t>
      </w:r>
    </w:p>
    <w:p w14:paraId="06EA184A" w14:textId="77777777" w:rsidR="00BA4113" w:rsidRDefault="00000000">
      <w:pPr>
        <w:pBdr>
          <w:top w:val="nil"/>
          <w:left w:val="nil"/>
          <w:bottom w:val="nil"/>
          <w:right w:val="nil"/>
          <w:between w:val="nil"/>
        </w:pBdr>
        <w:spacing w:after="200" w:line="240" w:lineRule="auto"/>
        <w:ind w:left="360"/>
        <w:rPr>
          <w:rFonts w:ascii="Times New Roman" w:eastAsia="Times New Roman" w:hAnsi="Times New Roman" w:cs="Times New Roman"/>
          <w:color w:val="000000"/>
          <w:u w:val="single"/>
        </w:rPr>
      </w:pPr>
      <w:r>
        <w:rPr>
          <w:rFonts w:ascii="Times New Roman" w:eastAsia="Times New Roman" w:hAnsi="Times New Roman" w:cs="Times New Roman"/>
          <w:color w:val="000000"/>
          <w:u w:val="single"/>
        </w:rPr>
        <w:t xml:space="preserve">Readings </w:t>
      </w:r>
    </w:p>
    <w:p w14:paraId="5DB27625" w14:textId="77777777" w:rsidR="00BA4113" w:rsidRDefault="00000000">
      <w:pPr>
        <w:numPr>
          <w:ilvl w:val="1"/>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i/>
          <w:color w:val="000000"/>
        </w:rPr>
        <w:t>Penn Cent. Transp. Co. v. City of New York</w:t>
      </w:r>
      <w:r>
        <w:rPr>
          <w:rFonts w:ascii="Times New Roman" w:eastAsia="Times New Roman" w:hAnsi="Times New Roman" w:cs="Times New Roman"/>
          <w:color w:val="000000"/>
        </w:rPr>
        <w:t xml:space="preserve">, 438 U.S. 104 (1978) (excerpt). </w:t>
      </w:r>
    </w:p>
    <w:p w14:paraId="226B4A2D" w14:textId="77777777" w:rsidR="00BA4113" w:rsidRPr="009C16B4" w:rsidRDefault="00000000">
      <w:pPr>
        <w:numPr>
          <w:ilvl w:val="1"/>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i/>
          <w:color w:val="000000"/>
        </w:rPr>
        <w:t>Lucas v. S.C. Coastal Council</w:t>
      </w:r>
      <w:r>
        <w:rPr>
          <w:rFonts w:ascii="Times New Roman" w:eastAsia="Times New Roman" w:hAnsi="Times New Roman" w:cs="Times New Roman"/>
          <w:color w:val="000000"/>
        </w:rPr>
        <w:t>, 505 U.S. 1003 (1992) (excerpt)</w:t>
      </w:r>
      <w:r>
        <w:rPr>
          <w:rFonts w:ascii="Times New Roman" w:eastAsia="Times New Roman" w:hAnsi="Times New Roman" w:cs="Times New Roman"/>
        </w:rPr>
        <w:t>.</w:t>
      </w:r>
    </w:p>
    <w:p w14:paraId="2753C96D" w14:textId="77777777" w:rsidR="009C16B4" w:rsidRDefault="009C16B4" w:rsidP="009C16B4">
      <w:pPr>
        <w:numPr>
          <w:ilvl w:val="1"/>
          <w:numId w:val="6"/>
        </w:numPr>
        <w:pBdr>
          <w:top w:val="nil"/>
          <w:left w:val="nil"/>
          <w:bottom w:val="nil"/>
          <w:right w:val="nil"/>
          <w:between w:val="nil"/>
        </w:pBdr>
        <w:spacing w:after="200" w:line="240" w:lineRule="auto"/>
        <w:rPr>
          <w:rFonts w:ascii="Times New Roman" w:eastAsia="Times New Roman" w:hAnsi="Times New Roman" w:cs="Times New Roman"/>
          <w:i/>
          <w:color w:val="000000"/>
        </w:rPr>
      </w:pPr>
      <w:r>
        <w:rPr>
          <w:rFonts w:ascii="Times New Roman" w:eastAsia="Times New Roman" w:hAnsi="Times New Roman" w:cs="Times New Roman"/>
          <w:i/>
        </w:rPr>
        <w:t>Koontz v. St. Johns River Water Mgmt. Dist.</w:t>
      </w:r>
      <w:r>
        <w:rPr>
          <w:rFonts w:ascii="Times New Roman" w:eastAsia="Times New Roman" w:hAnsi="Times New Roman" w:cs="Times New Roman"/>
        </w:rPr>
        <w:t xml:space="preserve">, 570 U.S. 595 (2013) (excerpt). </w:t>
      </w:r>
    </w:p>
    <w:p w14:paraId="121248D0" w14:textId="3DC79C36" w:rsidR="009C16B4" w:rsidRPr="009C16B4" w:rsidRDefault="009C16B4" w:rsidP="009C16B4">
      <w:pPr>
        <w:numPr>
          <w:ilvl w:val="1"/>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i/>
          <w:color w:val="000000"/>
        </w:rPr>
        <w:t xml:space="preserve">Sheetz. v. County of El Dorado </w:t>
      </w:r>
      <w:r>
        <w:rPr>
          <w:rFonts w:ascii="Times New Roman" w:eastAsia="Times New Roman" w:hAnsi="Times New Roman" w:cs="Times New Roman"/>
          <w:color w:val="000000"/>
        </w:rPr>
        <w:t xml:space="preserve">(2024). </w:t>
      </w:r>
    </w:p>
    <w:p w14:paraId="6732CAA4" w14:textId="77777777" w:rsidR="009C16B4" w:rsidRDefault="00000000" w:rsidP="009C16B4">
      <w:pPr>
        <w:numPr>
          <w:ilvl w:val="0"/>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b/>
        </w:rPr>
        <w:t xml:space="preserve">3/17/25 – </w:t>
      </w:r>
      <w:r w:rsidR="009C16B4">
        <w:rPr>
          <w:rFonts w:ascii="Times New Roman" w:eastAsia="Times New Roman" w:hAnsi="Times New Roman" w:cs="Times New Roman"/>
          <w:b/>
        </w:rPr>
        <w:t xml:space="preserve">Zoning &amp; Civil Liberties </w:t>
      </w:r>
    </w:p>
    <w:p w14:paraId="2294E7EC" w14:textId="77777777" w:rsidR="009C16B4" w:rsidRDefault="009C16B4" w:rsidP="009C16B4">
      <w:pPr>
        <w:spacing w:after="200" w:line="240" w:lineRule="auto"/>
        <w:ind w:left="360"/>
        <w:rPr>
          <w:rFonts w:ascii="Times New Roman" w:eastAsia="Times New Roman" w:hAnsi="Times New Roman" w:cs="Times New Roman"/>
          <w:u w:val="single"/>
        </w:rPr>
      </w:pPr>
      <w:r>
        <w:rPr>
          <w:rFonts w:ascii="Times New Roman" w:eastAsia="Times New Roman" w:hAnsi="Times New Roman" w:cs="Times New Roman"/>
          <w:u w:val="single"/>
        </w:rPr>
        <w:t xml:space="preserve">Readings </w:t>
      </w:r>
    </w:p>
    <w:p w14:paraId="45920341" w14:textId="77777777" w:rsidR="009C16B4" w:rsidRDefault="009C16B4" w:rsidP="009C16B4">
      <w:pPr>
        <w:numPr>
          <w:ilvl w:val="1"/>
          <w:numId w:val="6"/>
        </w:numPr>
        <w:spacing w:after="200" w:line="240" w:lineRule="auto"/>
        <w:rPr>
          <w:rFonts w:ascii="Times New Roman" w:eastAsia="Times New Roman" w:hAnsi="Times New Roman" w:cs="Times New Roman"/>
          <w:i/>
        </w:rPr>
      </w:pPr>
      <w:r>
        <w:rPr>
          <w:rFonts w:ascii="Times New Roman" w:eastAsia="Times New Roman" w:hAnsi="Times New Roman" w:cs="Times New Roman"/>
          <w:i/>
        </w:rPr>
        <w:t>International Church of Foursquare Gospel v. City of San Leandro</w:t>
      </w:r>
      <w:r>
        <w:rPr>
          <w:rFonts w:ascii="Times New Roman" w:eastAsia="Times New Roman" w:hAnsi="Times New Roman" w:cs="Times New Roman"/>
        </w:rPr>
        <w:t xml:space="preserve">, 673 F.3d 1059 (9th Cir. 2011) (excerpt). </w:t>
      </w:r>
    </w:p>
    <w:p w14:paraId="0D93A923" w14:textId="77777777" w:rsidR="009C16B4" w:rsidRDefault="009C16B4" w:rsidP="009C16B4">
      <w:pPr>
        <w:numPr>
          <w:ilvl w:val="1"/>
          <w:numId w:val="6"/>
        </w:numPr>
        <w:spacing w:after="200" w:line="240" w:lineRule="auto"/>
        <w:rPr>
          <w:rFonts w:ascii="Times New Roman" w:eastAsia="Times New Roman" w:hAnsi="Times New Roman" w:cs="Times New Roman"/>
        </w:rPr>
      </w:pPr>
      <w:r>
        <w:rPr>
          <w:rFonts w:ascii="Times New Roman" w:eastAsia="Times New Roman" w:hAnsi="Times New Roman" w:cs="Times New Roman"/>
          <w:i/>
        </w:rPr>
        <w:lastRenderedPageBreak/>
        <w:t>City of Los Angeles v. Alameda Books, Inc.</w:t>
      </w:r>
      <w:r>
        <w:rPr>
          <w:rFonts w:ascii="Times New Roman" w:eastAsia="Times New Roman" w:hAnsi="Times New Roman" w:cs="Times New Roman"/>
        </w:rPr>
        <w:t xml:space="preserve">, 535 U.S. 425 (2002) (excerpt). </w:t>
      </w:r>
    </w:p>
    <w:p w14:paraId="07C22A0F" w14:textId="74CC52FE" w:rsidR="00BA4113" w:rsidRDefault="00000000" w:rsidP="009C16B4">
      <w:pPr>
        <w:pBdr>
          <w:top w:val="nil"/>
          <w:left w:val="nil"/>
          <w:bottom w:val="nil"/>
          <w:right w:val="nil"/>
          <w:between w:val="nil"/>
        </w:pBdr>
        <w:spacing w:after="200" w:line="240" w:lineRule="auto"/>
        <w:ind w:left="360"/>
        <w:rPr>
          <w:rFonts w:ascii="Times New Roman" w:eastAsia="Times New Roman" w:hAnsi="Times New Roman" w:cs="Times New Roman"/>
          <w:b/>
        </w:rPr>
      </w:pPr>
      <w:r>
        <w:rPr>
          <w:rFonts w:ascii="Times New Roman" w:eastAsia="Times New Roman" w:hAnsi="Times New Roman" w:cs="Times New Roman"/>
          <w:b/>
        </w:rPr>
        <w:t>[3/24/25 – Spring Break, No Class]</w:t>
      </w:r>
    </w:p>
    <w:p w14:paraId="5FB19E50" w14:textId="77777777" w:rsidR="009C16B4" w:rsidRDefault="00000000" w:rsidP="009C16B4">
      <w:pPr>
        <w:numPr>
          <w:ilvl w:val="0"/>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b/>
          <w:color w:val="000000"/>
        </w:rPr>
        <w:t xml:space="preserve">3/31/25 – </w:t>
      </w:r>
      <w:r w:rsidR="009C16B4">
        <w:rPr>
          <w:rFonts w:ascii="Times New Roman" w:eastAsia="Times New Roman" w:hAnsi="Times New Roman" w:cs="Times New Roman"/>
          <w:b/>
        </w:rPr>
        <w:t xml:space="preserve">Exclusionary Zoning </w:t>
      </w:r>
    </w:p>
    <w:p w14:paraId="3C134465" w14:textId="77777777" w:rsidR="009C16B4" w:rsidRDefault="009C16B4" w:rsidP="009C16B4">
      <w:pPr>
        <w:spacing w:after="200" w:line="240" w:lineRule="auto"/>
        <w:ind w:left="360"/>
        <w:rPr>
          <w:rFonts w:ascii="Times New Roman" w:eastAsia="Times New Roman" w:hAnsi="Times New Roman" w:cs="Times New Roman"/>
          <w:u w:val="single"/>
        </w:rPr>
      </w:pPr>
      <w:r>
        <w:rPr>
          <w:rFonts w:ascii="Times New Roman" w:eastAsia="Times New Roman" w:hAnsi="Times New Roman" w:cs="Times New Roman"/>
          <w:u w:val="single"/>
        </w:rPr>
        <w:t>Readings:</w:t>
      </w:r>
    </w:p>
    <w:p w14:paraId="4A33AEA8" w14:textId="77777777" w:rsidR="009C16B4" w:rsidRDefault="009C16B4" w:rsidP="009C16B4">
      <w:pPr>
        <w:numPr>
          <w:ilvl w:val="0"/>
          <w:numId w:val="9"/>
        </w:numPr>
        <w:spacing w:after="200" w:line="240" w:lineRule="auto"/>
        <w:rPr>
          <w:rFonts w:ascii="Times New Roman" w:eastAsia="Times New Roman" w:hAnsi="Times New Roman" w:cs="Times New Roman"/>
          <w:i/>
        </w:rPr>
      </w:pPr>
      <w:r>
        <w:rPr>
          <w:rFonts w:ascii="Times New Roman" w:eastAsia="Times New Roman" w:hAnsi="Times New Roman" w:cs="Times New Roman"/>
          <w:i/>
        </w:rPr>
        <w:t>S. Burlington County NAACP v. Mt. Laurel Tp.</w:t>
      </w:r>
      <w:r>
        <w:rPr>
          <w:rFonts w:ascii="Times New Roman" w:eastAsia="Times New Roman" w:hAnsi="Times New Roman" w:cs="Times New Roman"/>
        </w:rPr>
        <w:t>, 67 N.J. 151 (1975) (</w:t>
      </w:r>
      <w:r>
        <w:rPr>
          <w:rFonts w:ascii="Times New Roman" w:eastAsia="Times New Roman" w:hAnsi="Times New Roman" w:cs="Times New Roman"/>
          <w:i/>
        </w:rPr>
        <w:t>“Mt. Laurel I</w:t>
      </w:r>
      <w:r>
        <w:rPr>
          <w:rFonts w:ascii="Times New Roman" w:eastAsia="Times New Roman" w:hAnsi="Times New Roman" w:cs="Times New Roman"/>
        </w:rPr>
        <w:t>”) (excerpt).</w:t>
      </w:r>
    </w:p>
    <w:p w14:paraId="3BC04650" w14:textId="77777777" w:rsidR="009C16B4" w:rsidRDefault="009C16B4" w:rsidP="009C16B4">
      <w:pPr>
        <w:numPr>
          <w:ilvl w:val="0"/>
          <w:numId w:val="9"/>
        </w:numPr>
        <w:spacing w:after="200" w:line="240" w:lineRule="auto"/>
        <w:rPr>
          <w:rFonts w:ascii="Times New Roman" w:eastAsia="Times New Roman" w:hAnsi="Times New Roman" w:cs="Times New Roman"/>
        </w:rPr>
      </w:pPr>
      <w:r>
        <w:rPr>
          <w:rFonts w:ascii="Times New Roman" w:eastAsia="Times New Roman" w:hAnsi="Times New Roman" w:cs="Times New Roman"/>
          <w:i/>
        </w:rPr>
        <w:t>S. Burlington County NAACP v. Mt. Laurel Tp.</w:t>
      </w:r>
      <w:r>
        <w:rPr>
          <w:rFonts w:ascii="Times New Roman" w:eastAsia="Times New Roman" w:hAnsi="Times New Roman" w:cs="Times New Roman"/>
        </w:rPr>
        <w:t>, 92 N.J. 158 (1983) (“</w:t>
      </w:r>
      <w:r>
        <w:rPr>
          <w:rFonts w:ascii="Times New Roman" w:eastAsia="Times New Roman" w:hAnsi="Times New Roman" w:cs="Times New Roman"/>
          <w:i/>
        </w:rPr>
        <w:t>Mt. Laurel II</w:t>
      </w:r>
      <w:r>
        <w:rPr>
          <w:rFonts w:ascii="Times New Roman" w:eastAsia="Times New Roman" w:hAnsi="Times New Roman" w:cs="Times New Roman"/>
        </w:rPr>
        <w:t xml:space="preserve">”) (excerpt). </w:t>
      </w:r>
    </w:p>
    <w:p w14:paraId="71866AA4" w14:textId="1E25BACA" w:rsidR="00BA4113" w:rsidRPr="009C16B4" w:rsidRDefault="009C16B4" w:rsidP="009C16B4">
      <w:pPr>
        <w:numPr>
          <w:ilvl w:val="0"/>
          <w:numId w:val="9"/>
        </w:numPr>
        <w:spacing w:after="200" w:line="240" w:lineRule="auto"/>
        <w:rPr>
          <w:rFonts w:ascii="Times New Roman" w:eastAsia="Times New Roman" w:hAnsi="Times New Roman" w:cs="Times New Roman"/>
        </w:rPr>
      </w:pPr>
      <w:r>
        <w:rPr>
          <w:rFonts w:ascii="Times New Roman" w:eastAsia="Times New Roman" w:hAnsi="Times New Roman" w:cs="Times New Roman"/>
        </w:rPr>
        <w:t xml:space="preserve">John Mangin, </w:t>
      </w:r>
      <w:r>
        <w:rPr>
          <w:rFonts w:ascii="Times New Roman" w:eastAsia="Times New Roman" w:hAnsi="Times New Roman" w:cs="Times New Roman"/>
          <w:i/>
        </w:rPr>
        <w:t>The New Exclusionary Zoning</w:t>
      </w:r>
      <w:r>
        <w:rPr>
          <w:rFonts w:ascii="Times New Roman" w:eastAsia="Times New Roman" w:hAnsi="Times New Roman" w:cs="Times New Roman"/>
        </w:rPr>
        <w:t xml:space="preserve">, 25 </w:t>
      </w:r>
      <w:r w:rsidRPr="00681C8A">
        <w:rPr>
          <w:rFonts w:ascii="Times New Roman" w:eastAsia="Times New Roman" w:hAnsi="Times New Roman" w:cs="Times New Roman"/>
          <w:smallCaps/>
        </w:rPr>
        <w:t>Stan</w:t>
      </w:r>
      <w:r w:rsidR="00681C8A" w:rsidRPr="00681C8A">
        <w:rPr>
          <w:rFonts w:ascii="Times New Roman" w:eastAsia="Times New Roman" w:hAnsi="Times New Roman" w:cs="Times New Roman"/>
          <w:smallCaps/>
        </w:rPr>
        <w:t>.</w:t>
      </w:r>
      <w:r w:rsidRPr="00681C8A">
        <w:rPr>
          <w:rFonts w:ascii="Times New Roman" w:eastAsia="Times New Roman" w:hAnsi="Times New Roman" w:cs="Times New Roman"/>
          <w:smallCaps/>
        </w:rPr>
        <w:t xml:space="preserve"> L. &amp; </w:t>
      </w:r>
      <w:proofErr w:type="spellStart"/>
      <w:r w:rsidRPr="00681C8A">
        <w:rPr>
          <w:rFonts w:ascii="Times New Roman" w:eastAsia="Times New Roman" w:hAnsi="Times New Roman" w:cs="Times New Roman"/>
          <w:smallCaps/>
        </w:rPr>
        <w:t>Pol’y</w:t>
      </w:r>
      <w:proofErr w:type="spellEnd"/>
      <w:r w:rsidRPr="00681C8A">
        <w:rPr>
          <w:rFonts w:ascii="Times New Roman" w:eastAsia="Times New Roman" w:hAnsi="Times New Roman" w:cs="Times New Roman"/>
          <w:smallCaps/>
        </w:rPr>
        <w:t xml:space="preserve"> Rev.</w:t>
      </w:r>
      <w:r>
        <w:rPr>
          <w:rFonts w:ascii="Times New Roman" w:eastAsia="Times New Roman" w:hAnsi="Times New Roman" w:cs="Times New Roman"/>
        </w:rPr>
        <w:t xml:space="preserve"> 91 (2014). </w:t>
      </w:r>
    </w:p>
    <w:p w14:paraId="1DA378FB" w14:textId="5A2E0664" w:rsidR="00BA4113" w:rsidRPr="009C16B4" w:rsidRDefault="00000000" w:rsidP="009C16B4">
      <w:pPr>
        <w:numPr>
          <w:ilvl w:val="0"/>
          <w:numId w:val="6"/>
        </w:numPr>
        <w:pBdr>
          <w:top w:val="nil"/>
          <w:left w:val="nil"/>
          <w:bottom w:val="nil"/>
          <w:right w:val="nil"/>
          <w:between w:val="nil"/>
        </w:pBdr>
        <w:spacing w:after="200" w:line="240" w:lineRule="auto"/>
        <w:rPr>
          <w:rFonts w:ascii="Times New Roman" w:eastAsia="Times New Roman" w:hAnsi="Times New Roman" w:cs="Times New Roman"/>
        </w:rPr>
      </w:pPr>
      <w:r>
        <w:rPr>
          <w:rFonts w:ascii="Times New Roman" w:eastAsia="Times New Roman" w:hAnsi="Times New Roman" w:cs="Times New Roman"/>
          <w:b/>
          <w:color w:val="000000"/>
        </w:rPr>
        <w:t xml:space="preserve">4/7/25 – </w:t>
      </w:r>
      <w:r w:rsidR="009C16B4">
        <w:rPr>
          <w:rFonts w:ascii="Times New Roman" w:eastAsia="Times New Roman" w:hAnsi="Times New Roman" w:cs="Times New Roman"/>
          <w:b/>
        </w:rPr>
        <w:t>Land Use Procedure &amp; Community Input</w:t>
      </w:r>
    </w:p>
    <w:p w14:paraId="0DF22FBB" w14:textId="77777777" w:rsidR="009C16B4" w:rsidRDefault="009C16B4" w:rsidP="009C16B4">
      <w:pPr>
        <w:spacing w:after="200" w:line="240" w:lineRule="auto"/>
        <w:ind w:left="360"/>
        <w:rPr>
          <w:rFonts w:ascii="Times New Roman" w:eastAsia="Times New Roman" w:hAnsi="Times New Roman" w:cs="Times New Roman"/>
          <w:u w:val="single"/>
        </w:rPr>
      </w:pPr>
      <w:r>
        <w:rPr>
          <w:rFonts w:ascii="Times New Roman" w:eastAsia="Times New Roman" w:hAnsi="Times New Roman" w:cs="Times New Roman"/>
          <w:u w:val="single"/>
        </w:rPr>
        <w:t>Readings</w:t>
      </w:r>
    </w:p>
    <w:p w14:paraId="12F6050A" w14:textId="7DA562D3" w:rsidR="00681C8A" w:rsidRDefault="00681C8A" w:rsidP="00681C8A">
      <w:pPr>
        <w:numPr>
          <w:ilvl w:val="0"/>
          <w:numId w:val="11"/>
        </w:numPr>
        <w:spacing w:after="200" w:line="240" w:lineRule="auto"/>
        <w:rPr>
          <w:rFonts w:ascii="Times New Roman" w:eastAsia="Times New Roman" w:hAnsi="Times New Roman" w:cs="Times New Roman"/>
        </w:rPr>
      </w:pPr>
      <w:r>
        <w:rPr>
          <w:rFonts w:ascii="Times New Roman" w:eastAsia="Times New Roman" w:hAnsi="Times New Roman" w:cs="Times New Roman"/>
        </w:rPr>
        <w:t xml:space="preserve">Moira O’Neill &amp; Ivy Wang, </w:t>
      </w:r>
      <w:r>
        <w:rPr>
          <w:rFonts w:ascii="Times New Roman" w:eastAsia="Times New Roman" w:hAnsi="Times New Roman" w:cs="Times New Roman"/>
          <w:i/>
          <w:iCs/>
        </w:rPr>
        <w:t>How Can Procedural Reform Support Fair Share Housing Production? Assessing the Effects of California’s Senate Bill 35</w:t>
      </w:r>
      <w:r>
        <w:rPr>
          <w:rFonts w:ascii="Times New Roman" w:eastAsia="Times New Roman" w:hAnsi="Times New Roman" w:cs="Times New Roman"/>
        </w:rPr>
        <w:t xml:space="preserve">, 25 </w:t>
      </w:r>
      <w:r>
        <w:rPr>
          <w:rFonts w:ascii="Times New Roman" w:eastAsia="Times New Roman" w:hAnsi="Times New Roman" w:cs="Times New Roman"/>
          <w:smallCaps/>
        </w:rPr>
        <w:t xml:space="preserve">Cityscape </w:t>
      </w:r>
      <w:r>
        <w:rPr>
          <w:rFonts w:ascii="Times New Roman" w:eastAsia="Times New Roman" w:hAnsi="Times New Roman" w:cs="Times New Roman"/>
        </w:rPr>
        <w:t xml:space="preserve">143 (2023). </w:t>
      </w:r>
    </w:p>
    <w:p w14:paraId="28317896" w14:textId="2B53392E" w:rsidR="00681C8A" w:rsidRDefault="00681C8A" w:rsidP="00681C8A">
      <w:pPr>
        <w:numPr>
          <w:ilvl w:val="0"/>
          <w:numId w:val="11"/>
        </w:numPr>
        <w:spacing w:after="200" w:line="240" w:lineRule="auto"/>
        <w:rPr>
          <w:rFonts w:ascii="Times New Roman" w:eastAsia="Times New Roman" w:hAnsi="Times New Roman" w:cs="Times New Roman"/>
        </w:rPr>
      </w:pPr>
      <w:r>
        <w:rPr>
          <w:rFonts w:ascii="Times New Roman" w:eastAsia="Times New Roman" w:hAnsi="Times New Roman" w:cs="Times New Roman"/>
        </w:rPr>
        <w:t xml:space="preserve">Anika Singh Lemar, </w:t>
      </w:r>
      <w:proofErr w:type="spellStart"/>
      <w:r>
        <w:rPr>
          <w:rFonts w:ascii="Times New Roman" w:eastAsia="Times New Roman" w:hAnsi="Times New Roman" w:cs="Times New Roman"/>
          <w:i/>
          <w:iCs/>
        </w:rPr>
        <w:t>Overparticipation</w:t>
      </w:r>
      <w:proofErr w:type="spellEnd"/>
      <w:r>
        <w:rPr>
          <w:rFonts w:ascii="Times New Roman" w:eastAsia="Times New Roman" w:hAnsi="Times New Roman" w:cs="Times New Roman"/>
          <w:i/>
          <w:iCs/>
        </w:rPr>
        <w:t>: Designing Effective Land Use Public Processes</w:t>
      </w:r>
      <w:r>
        <w:rPr>
          <w:rFonts w:ascii="Times New Roman" w:eastAsia="Times New Roman" w:hAnsi="Times New Roman" w:cs="Times New Roman"/>
        </w:rPr>
        <w:t xml:space="preserve">, 90 </w:t>
      </w:r>
      <w:r>
        <w:rPr>
          <w:rFonts w:ascii="Times New Roman" w:eastAsia="Times New Roman" w:hAnsi="Times New Roman" w:cs="Times New Roman"/>
          <w:smallCaps/>
        </w:rPr>
        <w:t xml:space="preserve">Fordham L. Rev. 1083 (2021). </w:t>
      </w:r>
    </w:p>
    <w:p w14:paraId="1537965F" w14:textId="7A24E3DA" w:rsidR="009C16B4" w:rsidRDefault="00000000" w:rsidP="009C16B4">
      <w:pPr>
        <w:numPr>
          <w:ilvl w:val="0"/>
          <w:numId w:val="6"/>
        </w:numPr>
        <w:pBdr>
          <w:top w:val="nil"/>
          <w:left w:val="nil"/>
          <w:bottom w:val="nil"/>
          <w:right w:val="nil"/>
          <w:between w:val="nil"/>
        </w:pBdr>
        <w:spacing w:after="200" w:line="240" w:lineRule="auto"/>
        <w:rPr>
          <w:rFonts w:ascii="Times New Roman" w:eastAsia="Times New Roman" w:hAnsi="Times New Roman" w:cs="Times New Roman"/>
          <w:color w:val="000000"/>
        </w:rPr>
      </w:pPr>
      <w:r>
        <w:rPr>
          <w:rFonts w:ascii="Times New Roman" w:eastAsia="Times New Roman" w:hAnsi="Times New Roman" w:cs="Times New Roman"/>
          <w:b/>
        </w:rPr>
        <w:t>4/14/25 –</w:t>
      </w:r>
      <w:r w:rsidR="00471F44">
        <w:rPr>
          <w:rFonts w:ascii="Times New Roman" w:eastAsia="Times New Roman" w:hAnsi="Times New Roman" w:cs="Times New Roman"/>
          <w:b/>
        </w:rPr>
        <w:t xml:space="preserve"> </w:t>
      </w:r>
      <w:r w:rsidR="009C16B4">
        <w:rPr>
          <w:rFonts w:ascii="Times New Roman" w:eastAsia="Times New Roman" w:hAnsi="Times New Roman" w:cs="Times New Roman"/>
          <w:b/>
        </w:rPr>
        <w:t>Environmental Review</w:t>
      </w:r>
      <w:r w:rsidR="009C16B4">
        <w:rPr>
          <w:rFonts w:ascii="Times New Roman" w:eastAsia="Times New Roman" w:hAnsi="Times New Roman" w:cs="Times New Roman"/>
          <w:b/>
          <w:color w:val="000000"/>
        </w:rPr>
        <w:t xml:space="preserve"> </w:t>
      </w:r>
    </w:p>
    <w:p w14:paraId="3E3B7BEA" w14:textId="27B960D4" w:rsidR="00471F44" w:rsidRPr="00471F44" w:rsidRDefault="00471F44" w:rsidP="009C16B4">
      <w:pPr>
        <w:spacing w:after="200" w:line="240" w:lineRule="auto"/>
        <w:ind w:left="360"/>
        <w:rPr>
          <w:rFonts w:ascii="Times New Roman" w:eastAsia="Times New Roman" w:hAnsi="Times New Roman" w:cs="Times New Roman"/>
        </w:rPr>
      </w:pPr>
      <w:r>
        <w:rPr>
          <w:rFonts w:ascii="Times New Roman" w:eastAsia="Times New Roman" w:hAnsi="Times New Roman" w:cs="Times New Roman"/>
        </w:rPr>
        <w:t>**Guest Speaker – Susan Amron</w:t>
      </w:r>
    </w:p>
    <w:p w14:paraId="109070B0" w14:textId="18DBED34" w:rsidR="009C16B4" w:rsidRPr="00E22B56" w:rsidRDefault="009C16B4" w:rsidP="009C16B4">
      <w:pPr>
        <w:spacing w:after="200" w:line="240" w:lineRule="auto"/>
        <w:ind w:left="360"/>
        <w:rPr>
          <w:rFonts w:ascii="Times New Roman" w:eastAsia="Times New Roman" w:hAnsi="Times New Roman" w:cs="Times New Roman"/>
        </w:rPr>
      </w:pPr>
      <w:r>
        <w:rPr>
          <w:rFonts w:ascii="Times New Roman" w:eastAsia="Times New Roman" w:hAnsi="Times New Roman" w:cs="Times New Roman"/>
          <w:u w:val="single"/>
        </w:rPr>
        <w:t>Readings:</w:t>
      </w:r>
      <w:r w:rsidR="00E22B56">
        <w:rPr>
          <w:rFonts w:ascii="Times New Roman" w:eastAsia="Times New Roman" w:hAnsi="Times New Roman" w:cs="Times New Roman"/>
        </w:rPr>
        <w:t xml:space="preserve"> TBD </w:t>
      </w:r>
    </w:p>
    <w:p w14:paraId="72F63947" w14:textId="77777777" w:rsidR="00BA4113" w:rsidRDefault="00000000">
      <w:pPr>
        <w:spacing w:after="200" w:line="240" w:lineRule="auto"/>
        <w:ind w:left="360"/>
        <w:rPr>
          <w:rFonts w:ascii="Times New Roman" w:eastAsia="Times New Roman" w:hAnsi="Times New Roman" w:cs="Times New Roman"/>
          <w:b/>
        </w:rPr>
      </w:pPr>
      <w:r>
        <w:rPr>
          <w:rFonts w:ascii="Times New Roman" w:eastAsia="Times New Roman" w:hAnsi="Times New Roman" w:cs="Times New Roman"/>
          <w:b/>
          <w:u w:val="single"/>
        </w:rPr>
        <w:t>NOTE:</w:t>
      </w:r>
      <w:r>
        <w:rPr>
          <w:rFonts w:ascii="Times New Roman" w:eastAsia="Times New Roman" w:hAnsi="Times New Roman" w:cs="Times New Roman"/>
          <w:b/>
        </w:rPr>
        <w:t xml:space="preserve"> HEARING MEMO DUE TODAY</w:t>
      </w:r>
    </w:p>
    <w:p w14:paraId="2C783F26" w14:textId="07E76226" w:rsidR="00BA4113" w:rsidRPr="00681C8A" w:rsidRDefault="00000000" w:rsidP="009C16B4">
      <w:pPr>
        <w:numPr>
          <w:ilvl w:val="0"/>
          <w:numId w:val="6"/>
        </w:numPr>
        <w:pBdr>
          <w:top w:val="nil"/>
          <w:left w:val="nil"/>
          <w:bottom w:val="nil"/>
          <w:right w:val="nil"/>
          <w:between w:val="nil"/>
        </w:pBdr>
        <w:spacing w:after="200" w:line="240" w:lineRule="auto"/>
        <w:rPr>
          <w:rFonts w:ascii="Times New Roman" w:eastAsia="Times New Roman" w:hAnsi="Times New Roman" w:cs="Times New Roman"/>
        </w:rPr>
      </w:pPr>
      <w:r>
        <w:rPr>
          <w:rFonts w:ascii="Times New Roman" w:eastAsia="Times New Roman" w:hAnsi="Times New Roman" w:cs="Times New Roman"/>
          <w:b/>
        </w:rPr>
        <w:t xml:space="preserve">4/21/25 – </w:t>
      </w:r>
      <w:r w:rsidR="008E3F50">
        <w:rPr>
          <w:rFonts w:ascii="Times New Roman" w:eastAsia="Times New Roman" w:hAnsi="Times New Roman" w:cs="Times New Roman"/>
          <w:b/>
        </w:rPr>
        <w:t>Zoning Tools &amp; Administration</w:t>
      </w:r>
      <w:r w:rsidR="00681C8A">
        <w:rPr>
          <w:rFonts w:ascii="Times New Roman" w:eastAsia="Times New Roman" w:hAnsi="Times New Roman" w:cs="Times New Roman"/>
          <w:b/>
        </w:rPr>
        <w:t xml:space="preserve"> I</w:t>
      </w:r>
    </w:p>
    <w:p w14:paraId="2802B143" w14:textId="4D2C3D11" w:rsidR="00681C8A" w:rsidRPr="00681C8A" w:rsidRDefault="00681C8A" w:rsidP="00681C8A">
      <w:pPr>
        <w:pStyle w:val="NormalWeb"/>
        <w:numPr>
          <w:ilvl w:val="1"/>
          <w:numId w:val="6"/>
        </w:numPr>
      </w:pPr>
      <w:r>
        <w:rPr>
          <w:bCs/>
          <w:i/>
          <w:iCs/>
        </w:rPr>
        <w:t>Matthew v. Smith</w:t>
      </w:r>
      <w:r>
        <w:rPr>
          <w:bCs/>
        </w:rPr>
        <w:t xml:space="preserve">, </w:t>
      </w:r>
      <w:r w:rsidRPr="00681C8A">
        <w:rPr>
          <w:rFonts w:ascii="TimesNewRomanPS" w:hAnsi="TimesNewRomanPS"/>
        </w:rPr>
        <w:t xml:space="preserve">707 S.W.2d 411 (Mo. 1986) (excerpt) </w:t>
      </w:r>
    </w:p>
    <w:p w14:paraId="5BA9C880" w14:textId="4848B2DD" w:rsidR="00681C8A" w:rsidRPr="00AA0214" w:rsidRDefault="00681C8A" w:rsidP="00681C8A">
      <w:pPr>
        <w:numPr>
          <w:ilvl w:val="1"/>
          <w:numId w:val="6"/>
        </w:numPr>
        <w:pBdr>
          <w:top w:val="nil"/>
          <w:left w:val="nil"/>
          <w:bottom w:val="nil"/>
          <w:right w:val="nil"/>
          <w:between w:val="nil"/>
        </w:pBdr>
        <w:spacing w:after="200" w:line="240" w:lineRule="auto"/>
        <w:rPr>
          <w:rFonts w:ascii="Times New Roman" w:eastAsia="Times New Roman" w:hAnsi="Times New Roman" w:cs="Times New Roman"/>
        </w:rPr>
      </w:pPr>
      <w:r>
        <w:rPr>
          <w:rFonts w:ascii="Times New Roman" w:eastAsia="Times New Roman" w:hAnsi="Times New Roman" w:cs="Times New Roman"/>
          <w:bCs/>
          <w:i/>
          <w:iCs/>
        </w:rPr>
        <w:t xml:space="preserve">Chrismon v. Guilford </w:t>
      </w:r>
      <w:proofErr w:type="spellStart"/>
      <w:r>
        <w:rPr>
          <w:rFonts w:ascii="Times New Roman" w:eastAsia="Times New Roman" w:hAnsi="Times New Roman" w:cs="Times New Roman"/>
          <w:bCs/>
          <w:i/>
          <w:iCs/>
        </w:rPr>
        <w:t>Cty</w:t>
      </w:r>
      <w:proofErr w:type="spellEnd"/>
      <w:r>
        <w:rPr>
          <w:rFonts w:ascii="Times New Roman" w:eastAsia="Times New Roman" w:hAnsi="Times New Roman" w:cs="Times New Roman"/>
          <w:bCs/>
        </w:rPr>
        <w:t xml:space="preserve">, 370 S.E.2d 579 (N.C. 1988) (excerpt) </w:t>
      </w:r>
    </w:p>
    <w:p w14:paraId="0C3611CC" w14:textId="66E31747" w:rsidR="00AA0214" w:rsidRPr="00D67A70" w:rsidRDefault="00AA0214" w:rsidP="00AA0214">
      <w:pPr>
        <w:pStyle w:val="NormalWeb"/>
        <w:ind w:left="360"/>
      </w:pPr>
      <w:r>
        <w:rPr>
          <w:b/>
          <w:bCs/>
          <w:u w:val="single"/>
        </w:rPr>
        <w:t>NOTE:</w:t>
      </w:r>
      <w:r>
        <w:t xml:space="preserve"> we’ll discuss hearing memos today </w:t>
      </w:r>
    </w:p>
    <w:p w14:paraId="1C1B6F19" w14:textId="5597D32C" w:rsidR="00BA4113" w:rsidRPr="00681C8A" w:rsidRDefault="00000000" w:rsidP="00681C8A">
      <w:pPr>
        <w:numPr>
          <w:ilvl w:val="0"/>
          <w:numId w:val="6"/>
        </w:numPr>
        <w:pBdr>
          <w:top w:val="nil"/>
          <w:left w:val="nil"/>
          <w:bottom w:val="nil"/>
          <w:right w:val="nil"/>
          <w:between w:val="nil"/>
        </w:pBdr>
        <w:spacing w:after="200" w:line="240" w:lineRule="auto"/>
        <w:rPr>
          <w:rFonts w:ascii="Times New Roman" w:eastAsia="Times New Roman" w:hAnsi="Times New Roman" w:cs="Times New Roman"/>
        </w:rPr>
      </w:pPr>
      <w:r>
        <w:rPr>
          <w:rFonts w:ascii="Times New Roman" w:eastAsia="Times New Roman" w:hAnsi="Times New Roman" w:cs="Times New Roman"/>
          <w:b/>
        </w:rPr>
        <w:t xml:space="preserve">4/28/25 – </w:t>
      </w:r>
      <w:r w:rsidR="00681C8A">
        <w:rPr>
          <w:rFonts w:ascii="Times New Roman" w:eastAsia="Times New Roman" w:hAnsi="Times New Roman" w:cs="Times New Roman"/>
          <w:b/>
        </w:rPr>
        <w:t>Zoning Tools &amp; Administration II</w:t>
      </w:r>
    </w:p>
    <w:p w14:paraId="6381C0D6" w14:textId="77777777" w:rsidR="00BA4113" w:rsidRDefault="00000000">
      <w:pPr>
        <w:pBdr>
          <w:top w:val="nil"/>
          <w:left w:val="nil"/>
          <w:bottom w:val="nil"/>
          <w:right w:val="nil"/>
          <w:between w:val="nil"/>
        </w:pBdr>
        <w:spacing w:after="200" w:line="240" w:lineRule="auto"/>
        <w:ind w:left="360"/>
        <w:rPr>
          <w:rFonts w:ascii="Times New Roman" w:eastAsia="Times New Roman" w:hAnsi="Times New Roman" w:cs="Times New Roman"/>
          <w:u w:val="single"/>
        </w:rPr>
      </w:pPr>
      <w:r>
        <w:rPr>
          <w:rFonts w:ascii="Times New Roman" w:eastAsia="Times New Roman" w:hAnsi="Times New Roman" w:cs="Times New Roman"/>
          <w:u w:val="single"/>
        </w:rPr>
        <w:t>Readings</w:t>
      </w:r>
    </w:p>
    <w:p w14:paraId="03CFB8C6" w14:textId="2F962180" w:rsidR="00BA4113" w:rsidRDefault="00681C8A">
      <w:pPr>
        <w:numPr>
          <w:ilvl w:val="0"/>
          <w:numId w:val="10"/>
        </w:numPr>
        <w:pBdr>
          <w:top w:val="nil"/>
          <w:left w:val="nil"/>
          <w:bottom w:val="nil"/>
          <w:right w:val="nil"/>
          <w:between w:val="nil"/>
        </w:pBdr>
        <w:spacing w:after="200" w:line="240" w:lineRule="auto"/>
        <w:rPr>
          <w:rFonts w:ascii="Times New Roman" w:eastAsia="Times New Roman" w:hAnsi="Times New Roman" w:cs="Times New Roman"/>
        </w:rPr>
      </w:pPr>
      <w:r>
        <w:rPr>
          <w:rFonts w:ascii="Times New Roman" w:eastAsia="Times New Roman" w:hAnsi="Times New Roman" w:cs="Times New Roman"/>
        </w:rPr>
        <w:t>Vicki Been</w:t>
      </w:r>
      <w:r w:rsidR="00D67A70">
        <w:rPr>
          <w:rFonts w:ascii="Times New Roman" w:eastAsia="Times New Roman" w:hAnsi="Times New Roman" w:cs="Times New Roman"/>
        </w:rPr>
        <w:t xml:space="preserve">, </w:t>
      </w:r>
      <w:r w:rsidR="00D67A70">
        <w:rPr>
          <w:rFonts w:ascii="Times New Roman" w:eastAsia="Times New Roman" w:hAnsi="Times New Roman" w:cs="Times New Roman"/>
          <w:i/>
          <w:iCs/>
        </w:rPr>
        <w:t xml:space="preserve">Community Benefits Agreements: Local Government Tool or Another Variation on the Exactions </w:t>
      </w:r>
      <w:proofErr w:type="gramStart"/>
      <w:r w:rsidR="00D67A70">
        <w:rPr>
          <w:rFonts w:ascii="Times New Roman" w:eastAsia="Times New Roman" w:hAnsi="Times New Roman" w:cs="Times New Roman"/>
          <w:i/>
          <w:iCs/>
        </w:rPr>
        <w:t>Theme?</w:t>
      </w:r>
      <w:r w:rsidR="00D67A70">
        <w:rPr>
          <w:rFonts w:ascii="Times New Roman" w:eastAsia="Times New Roman" w:hAnsi="Times New Roman" w:cs="Times New Roman"/>
        </w:rPr>
        <w:t>,</w:t>
      </w:r>
      <w:proofErr w:type="gramEnd"/>
      <w:r w:rsidR="00D67A70">
        <w:rPr>
          <w:rFonts w:ascii="Times New Roman" w:eastAsia="Times New Roman" w:hAnsi="Times New Roman" w:cs="Times New Roman"/>
        </w:rPr>
        <w:t xml:space="preserve"> </w:t>
      </w:r>
      <w:r w:rsidR="00D67A70">
        <w:rPr>
          <w:rFonts w:ascii="Times New Roman" w:eastAsia="Times New Roman" w:hAnsi="Times New Roman" w:cs="Times New Roman"/>
          <w:smallCaps/>
        </w:rPr>
        <w:t xml:space="preserve">77 U. Chicago L. Rev. </w:t>
      </w:r>
      <w:r w:rsidR="00D67A70">
        <w:rPr>
          <w:rFonts w:ascii="Times New Roman" w:eastAsia="Times New Roman" w:hAnsi="Times New Roman" w:cs="Times New Roman"/>
        </w:rPr>
        <w:t xml:space="preserve">5 (2010)  </w:t>
      </w:r>
    </w:p>
    <w:p w14:paraId="70A00320" w14:textId="36976DC5" w:rsidR="00681C8A" w:rsidRPr="00D67A70" w:rsidRDefault="004C1BB5">
      <w:pPr>
        <w:numPr>
          <w:ilvl w:val="0"/>
          <w:numId w:val="10"/>
        </w:numPr>
        <w:pBdr>
          <w:top w:val="nil"/>
          <w:left w:val="nil"/>
          <w:bottom w:val="nil"/>
          <w:right w:val="nil"/>
          <w:between w:val="nil"/>
        </w:pBdr>
        <w:spacing w:after="200" w:line="240" w:lineRule="auto"/>
        <w:rPr>
          <w:rFonts w:ascii="Times New Roman" w:eastAsia="Times New Roman" w:hAnsi="Times New Roman" w:cs="Times New Roman"/>
          <w:smallCaps/>
        </w:rPr>
      </w:pPr>
      <w:r>
        <w:rPr>
          <w:rFonts w:ascii="Times New Roman" w:eastAsia="Times New Roman" w:hAnsi="Times New Roman" w:cs="Times New Roman"/>
          <w:smallCaps/>
        </w:rPr>
        <w:t>[TBD]</w:t>
      </w:r>
    </w:p>
    <w:p w14:paraId="52F02E0A" w14:textId="77777777" w:rsidR="00BA4113" w:rsidRDefault="00000000">
      <w:pPr>
        <w:numPr>
          <w:ilvl w:val="0"/>
          <w:numId w:val="6"/>
        </w:numPr>
        <w:pBdr>
          <w:top w:val="nil"/>
          <w:left w:val="nil"/>
          <w:bottom w:val="nil"/>
          <w:right w:val="nil"/>
          <w:between w:val="nil"/>
        </w:pBdr>
        <w:spacing w:after="200" w:line="240" w:lineRule="auto"/>
        <w:rPr>
          <w:rFonts w:ascii="Times New Roman" w:eastAsia="Times New Roman" w:hAnsi="Times New Roman" w:cs="Times New Roman"/>
        </w:rPr>
      </w:pPr>
      <w:r>
        <w:rPr>
          <w:rFonts w:ascii="Times New Roman" w:eastAsia="Times New Roman" w:hAnsi="Times New Roman" w:cs="Times New Roman"/>
          <w:b/>
          <w:color w:val="000000"/>
        </w:rPr>
        <w:t xml:space="preserve">5/5/25 – </w:t>
      </w:r>
      <w:r>
        <w:rPr>
          <w:rFonts w:ascii="Times New Roman" w:eastAsia="Times New Roman" w:hAnsi="Times New Roman" w:cs="Times New Roman"/>
          <w:b/>
        </w:rPr>
        <w:t xml:space="preserve">Catch Up &amp; </w:t>
      </w:r>
      <w:r>
        <w:rPr>
          <w:rFonts w:ascii="Times New Roman" w:eastAsia="Times New Roman" w:hAnsi="Times New Roman" w:cs="Times New Roman"/>
          <w:b/>
          <w:color w:val="000000"/>
        </w:rPr>
        <w:t xml:space="preserve">Review </w:t>
      </w:r>
    </w:p>
    <w:p w14:paraId="6323129E" w14:textId="77777777" w:rsidR="00BA4113" w:rsidRDefault="00BA4113">
      <w:pPr>
        <w:pBdr>
          <w:top w:val="nil"/>
          <w:left w:val="nil"/>
          <w:bottom w:val="nil"/>
          <w:right w:val="nil"/>
          <w:between w:val="nil"/>
        </w:pBdr>
        <w:spacing w:after="200" w:line="240" w:lineRule="auto"/>
        <w:rPr>
          <w:rFonts w:ascii="Times New Roman" w:eastAsia="Times New Roman" w:hAnsi="Times New Roman" w:cs="Times New Roman"/>
          <w:b/>
        </w:rPr>
      </w:pPr>
    </w:p>
    <w:p w14:paraId="538E2132" w14:textId="12244AAB" w:rsidR="00BA4113" w:rsidRDefault="00000000">
      <w:pPr>
        <w:jc w:val="right"/>
        <w:rPr>
          <w:rFonts w:ascii="Times New Roman" w:eastAsia="Times New Roman" w:hAnsi="Times New Roman" w:cs="Times New Roman"/>
          <w:b/>
        </w:rPr>
      </w:pPr>
      <w:r>
        <w:rPr>
          <w:rFonts w:ascii="Times New Roman" w:eastAsia="Times New Roman" w:hAnsi="Times New Roman" w:cs="Times New Roman"/>
        </w:rPr>
        <w:t xml:space="preserve">Last updated </w:t>
      </w:r>
      <w:r w:rsidR="00681C8A">
        <w:rPr>
          <w:rFonts w:ascii="Times New Roman" w:eastAsia="Times New Roman" w:hAnsi="Times New Roman" w:cs="Times New Roman"/>
        </w:rPr>
        <w:t>3/</w:t>
      </w:r>
      <w:r w:rsidR="000045B5">
        <w:rPr>
          <w:rFonts w:ascii="Times New Roman" w:eastAsia="Times New Roman" w:hAnsi="Times New Roman" w:cs="Times New Roman"/>
        </w:rPr>
        <w:t>23</w:t>
      </w:r>
      <w:r w:rsidR="0002381B">
        <w:rPr>
          <w:rFonts w:ascii="Times New Roman" w:eastAsia="Times New Roman" w:hAnsi="Times New Roman" w:cs="Times New Roman"/>
        </w:rPr>
        <w:t>/</w:t>
      </w:r>
      <w:r>
        <w:rPr>
          <w:rFonts w:ascii="Times New Roman" w:eastAsia="Times New Roman" w:hAnsi="Times New Roman" w:cs="Times New Roman"/>
        </w:rPr>
        <w:t>25</w:t>
      </w:r>
    </w:p>
    <w:sectPr w:rsidR="00BA4113">
      <w:footerReference w:type="default" r:id="rId12"/>
      <w:pgSz w:w="12240" w:h="15840"/>
      <w:pgMar w:top="1080" w:right="1080" w:bottom="108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02E0D9" w14:textId="77777777" w:rsidR="006F30F0" w:rsidRDefault="006F30F0">
      <w:pPr>
        <w:spacing w:after="0" w:line="240" w:lineRule="auto"/>
      </w:pPr>
      <w:r>
        <w:separator/>
      </w:r>
    </w:p>
  </w:endnote>
  <w:endnote w:type="continuationSeparator" w:id="0">
    <w:p w14:paraId="37532C4B" w14:textId="77777777" w:rsidR="006F30F0" w:rsidRDefault="006F30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8C4BF890-6C57-C841-A758-F293A6AEFB99}"/>
    <w:embedBold r:id="rId2" w:fontKey="{8096B09F-65E5-104D-86BB-8CE95FA27041}"/>
    <w:embedItalic r:id="rId3" w:fontKey="{EFD51504-1394-9E41-8E47-FBFD218576A0}"/>
    <w:embedBoldItalic r:id="rId4" w:fontKey="{A1C0F79C-A48E-7E4A-92E5-9BD904E72A51}"/>
  </w:font>
  <w:font w:name="Noto Sans Symbols">
    <w:altName w:val="Calibri"/>
    <w:panose1 w:val="020B0604020202020204"/>
    <w:charset w:val="00"/>
    <w:family w:val="auto"/>
    <w:pitch w:val="default"/>
    <w:embedRegular r:id="rId5" w:fontKey="{86B1C324-DEE3-9341-94FB-9B13894FA4E4}"/>
  </w:font>
  <w:font w:name="Courier New">
    <w:panose1 w:val="02070309020205020404"/>
    <w:charset w:val="00"/>
    <w:family w:val="modern"/>
    <w:pitch w:val="fixed"/>
    <w:sig w:usb0="E0002AFF" w:usb1="C0007843" w:usb2="00000009" w:usb3="00000000" w:csb0="000001FF" w:csb1="00000000"/>
    <w:embedRegular r:id="rId6" w:fontKey="{217829B4-3E6E-2D44-82E9-65565C330451}"/>
  </w:font>
  <w:font w:name="Aptos">
    <w:panose1 w:val="020B0004020202020204"/>
    <w:charset w:val="00"/>
    <w:family w:val="swiss"/>
    <w:pitch w:val="variable"/>
    <w:sig w:usb0="20000287" w:usb1="00000003" w:usb2="00000000" w:usb3="00000000" w:csb0="0000019F" w:csb1="00000000"/>
    <w:embedRegular r:id="rId7" w:fontKey="{26F80946-8274-FB45-8F0C-50FA43ED58CC}"/>
    <w:embedBold r:id="rId8" w:fontKey="{B253578D-7F4F-FC4D-9107-4B41414B95DB}"/>
    <w:embedItalic r:id="rId9" w:fontKey="{3ED14B90-59FB-9E44-BC45-587C31D142C1}"/>
  </w:font>
  <w:font w:name="Aptos Display">
    <w:panose1 w:val="020B0004020202020204"/>
    <w:charset w:val="00"/>
    <w:family w:val="swiss"/>
    <w:pitch w:val="variable"/>
    <w:sig w:usb0="20000287" w:usb1="00000003" w:usb2="00000000" w:usb3="00000000" w:csb0="0000019F" w:csb1="00000000"/>
    <w:embedRegular r:id="rId10" w:fontKey="{6823A5E5-89B9-2F4D-9347-E641B98C5576}"/>
  </w:font>
  <w:font w:name="Malgun Gothic">
    <w:panose1 w:val="020B0503020000020004"/>
    <w:charset w:val="81"/>
    <w:family w:val="swiss"/>
    <w:pitch w:val="variable"/>
    <w:sig w:usb0="9000002F" w:usb1="29D77CFB" w:usb2="00000012" w:usb3="00000000" w:csb0="00080001" w:csb1="00000000"/>
  </w:font>
  <w:font w:name="TimesNewRomanPS">
    <w:altName w:val="Times New Roman"/>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06D09E" w14:textId="77777777" w:rsidR="00BA4113" w:rsidRDefault="00000000">
    <w:pPr>
      <w:jc w:val="right"/>
      <w:rPr>
        <w:rFonts w:ascii="Times New Roman" w:eastAsia="Times New Roman" w:hAnsi="Times New Roman" w:cs="Times New Roman"/>
      </w:rPr>
    </w:pPr>
    <w:r>
      <w:rPr>
        <w:rFonts w:ascii="Times New Roman" w:eastAsia="Times New Roman" w:hAnsi="Times New Roman" w:cs="Times New Roman"/>
      </w:rPr>
      <w:fldChar w:fldCharType="begin"/>
    </w:r>
    <w:r>
      <w:rPr>
        <w:rFonts w:ascii="Times New Roman" w:eastAsia="Times New Roman" w:hAnsi="Times New Roman" w:cs="Times New Roman"/>
      </w:rPr>
      <w:instrText>PAGE</w:instrText>
    </w:r>
    <w:r>
      <w:rPr>
        <w:rFonts w:ascii="Times New Roman" w:eastAsia="Times New Roman" w:hAnsi="Times New Roman" w:cs="Times New Roman"/>
      </w:rPr>
      <w:fldChar w:fldCharType="separate"/>
    </w:r>
    <w:r w:rsidR="003D19A9">
      <w:rPr>
        <w:rFonts w:ascii="Times New Roman" w:eastAsia="Times New Roman" w:hAnsi="Times New Roman" w:cs="Times New Roman"/>
        <w:noProof/>
      </w:rPr>
      <w:t>1</w:t>
    </w:r>
    <w:r>
      <w:rPr>
        <w:rFonts w:ascii="Times New Roman" w:eastAsia="Times New Roman" w:hAnsi="Times New Roman" w:cs="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B84BFE" w14:textId="77777777" w:rsidR="006F30F0" w:rsidRDefault="006F30F0">
      <w:pPr>
        <w:spacing w:after="0" w:line="240" w:lineRule="auto"/>
      </w:pPr>
      <w:r>
        <w:separator/>
      </w:r>
    </w:p>
  </w:footnote>
  <w:footnote w:type="continuationSeparator" w:id="0">
    <w:p w14:paraId="0608ACA4" w14:textId="77777777" w:rsidR="006F30F0" w:rsidRDefault="006F30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81E4B"/>
    <w:multiLevelType w:val="multilevel"/>
    <w:tmpl w:val="AFD8A532"/>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 w15:restartNumberingAfterBreak="0">
    <w:nsid w:val="07BA2254"/>
    <w:multiLevelType w:val="multilevel"/>
    <w:tmpl w:val="43B864A0"/>
    <w:lvl w:ilvl="0">
      <w:start w:val="1"/>
      <w:numFmt w:val="decimal"/>
      <w:lvlText w:val="%1."/>
      <w:lvlJc w:val="left"/>
      <w:pPr>
        <w:ind w:left="360" w:hanging="360"/>
      </w:pPr>
      <w:rPr>
        <w:b/>
      </w:rPr>
    </w:lvl>
    <w:lvl w:ilvl="1">
      <w:start w:val="1"/>
      <w:numFmt w:val="lowerLetter"/>
      <w:lvlText w:val="%2."/>
      <w:lvlJc w:val="left"/>
      <w:pPr>
        <w:ind w:left="72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19F636F0"/>
    <w:multiLevelType w:val="multilevel"/>
    <w:tmpl w:val="9428398A"/>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2D0B31D8"/>
    <w:multiLevelType w:val="multilevel"/>
    <w:tmpl w:val="D7765088"/>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35BC22A2"/>
    <w:multiLevelType w:val="multilevel"/>
    <w:tmpl w:val="D3701EEC"/>
    <w:lvl w:ilvl="0">
      <w:start w:val="1"/>
      <w:numFmt w:val="lowerLetter"/>
      <w:lvlText w:val="%1."/>
      <w:lvlJc w:val="left"/>
      <w:pPr>
        <w:ind w:left="720" w:hanging="360"/>
      </w:pPr>
      <w:rPr>
        <w:rFonts w:ascii="Times New Roman" w:eastAsia="Times New Roman" w:hAnsi="Times New Roman" w:cs="Times New Roman"/>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5" w15:restartNumberingAfterBreak="0">
    <w:nsid w:val="39727703"/>
    <w:multiLevelType w:val="multilevel"/>
    <w:tmpl w:val="F606D630"/>
    <w:lvl w:ilvl="0">
      <w:start w:val="1"/>
      <w:numFmt w:val="lowerLetter"/>
      <w:lvlText w:val="%1."/>
      <w:lvlJc w:val="left"/>
      <w:pPr>
        <w:ind w:left="720" w:hanging="360"/>
      </w:pPr>
      <w:rPr>
        <w:rFonts w:ascii="Aptos" w:eastAsia="Aptos" w:hAnsi="Aptos" w:cs="Aptos"/>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6" w15:restartNumberingAfterBreak="0">
    <w:nsid w:val="47A309BC"/>
    <w:multiLevelType w:val="multilevel"/>
    <w:tmpl w:val="1FE8841A"/>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7" w15:restartNumberingAfterBreak="0">
    <w:nsid w:val="4E8B0256"/>
    <w:multiLevelType w:val="multilevel"/>
    <w:tmpl w:val="908E3D46"/>
    <w:lvl w:ilvl="0">
      <w:start w:val="1"/>
      <w:numFmt w:val="lowerLetter"/>
      <w:lvlText w:val="%1."/>
      <w:lvlJc w:val="left"/>
      <w:pPr>
        <w:ind w:left="720" w:hanging="360"/>
      </w:pPr>
      <w:rPr>
        <w:rFonts w:ascii="Times New Roman" w:eastAsia="Times New Roman" w:hAnsi="Times New Roman" w:cs="Times New Roman"/>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8" w15:restartNumberingAfterBreak="0">
    <w:nsid w:val="5D8A2F69"/>
    <w:multiLevelType w:val="multilevel"/>
    <w:tmpl w:val="2E7A8CF6"/>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9" w15:restartNumberingAfterBreak="0">
    <w:nsid w:val="6C8623D2"/>
    <w:multiLevelType w:val="multilevel"/>
    <w:tmpl w:val="B8A29726"/>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0" w15:restartNumberingAfterBreak="0">
    <w:nsid w:val="79161673"/>
    <w:multiLevelType w:val="multilevel"/>
    <w:tmpl w:val="BCE6578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777798970">
    <w:abstractNumId w:val="10"/>
  </w:num>
  <w:num w:numId="2" w16cid:durableId="2027367057">
    <w:abstractNumId w:val="2"/>
  </w:num>
  <w:num w:numId="3" w16cid:durableId="1287931002">
    <w:abstractNumId w:val="5"/>
  </w:num>
  <w:num w:numId="4" w16cid:durableId="1120799916">
    <w:abstractNumId w:val="4"/>
  </w:num>
  <w:num w:numId="5" w16cid:durableId="629551357">
    <w:abstractNumId w:val="7"/>
  </w:num>
  <w:num w:numId="6" w16cid:durableId="902914074">
    <w:abstractNumId w:val="1"/>
  </w:num>
  <w:num w:numId="7" w16cid:durableId="1169054623">
    <w:abstractNumId w:val="3"/>
  </w:num>
  <w:num w:numId="8" w16cid:durableId="1849829897">
    <w:abstractNumId w:val="9"/>
  </w:num>
  <w:num w:numId="9" w16cid:durableId="976029972">
    <w:abstractNumId w:val="0"/>
  </w:num>
  <w:num w:numId="10" w16cid:durableId="2049408081">
    <w:abstractNumId w:val="8"/>
  </w:num>
  <w:num w:numId="11" w16cid:durableId="35561754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4113"/>
    <w:rsid w:val="000045B5"/>
    <w:rsid w:val="0002381B"/>
    <w:rsid w:val="000717F8"/>
    <w:rsid w:val="00092B9D"/>
    <w:rsid w:val="001177CC"/>
    <w:rsid w:val="001B7D86"/>
    <w:rsid w:val="003D19A9"/>
    <w:rsid w:val="004014AC"/>
    <w:rsid w:val="00471F44"/>
    <w:rsid w:val="004C1BB5"/>
    <w:rsid w:val="004D58CB"/>
    <w:rsid w:val="004F0CBD"/>
    <w:rsid w:val="00681C8A"/>
    <w:rsid w:val="006F30F0"/>
    <w:rsid w:val="007F1691"/>
    <w:rsid w:val="008964AD"/>
    <w:rsid w:val="008E3F50"/>
    <w:rsid w:val="009C16B4"/>
    <w:rsid w:val="00AA0214"/>
    <w:rsid w:val="00BA4113"/>
    <w:rsid w:val="00BF6B09"/>
    <w:rsid w:val="00D50A02"/>
    <w:rsid w:val="00D67A70"/>
    <w:rsid w:val="00E22B56"/>
    <w:rsid w:val="00F6317B"/>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26698E1E"/>
  <w15:docId w15:val="{7582E3AF-53EE-2245-ADC1-9917995DE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Aptos"/>
        <w:sz w:val="24"/>
        <w:szCs w:val="24"/>
        <w:lang w:val="en-US" w:eastAsia="ko-KR"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6120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6120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6120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6120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6120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6120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6120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6120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6120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6120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16120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6120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6120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6120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6120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6120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6120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6120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61208"/>
    <w:rPr>
      <w:rFonts w:eastAsiaTheme="majorEastAsia" w:cstheme="majorBidi"/>
      <w:color w:val="272727" w:themeColor="text1" w:themeTint="D8"/>
    </w:rPr>
  </w:style>
  <w:style w:type="character" w:customStyle="1" w:styleId="TitleChar">
    <w:name w:val="Title Char"/>
    <w:basedOn w:val="DefaultParagraphFont"/>
    <w:link w:val="Title"/>
    <w:uiPriority w:val="10"/>
    <w:rsid w:val="0016120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Pr>
      <w:color w:val="595959"/>
      <w:sz w:val="28"/>
      <w:szCs w:val="28"/>
    </w:rPr>
  </w:style>
  <w:style w:type="character" w:customStyle="1" w:styleId="SubtitleChar">
    <w:name w:val="Subtitle Char"/>
    <w:basedOn w:val="DefaultParagraphFont"/>
    <w:link w:val="Subtitle"/>
    <w:uiPriority w:val="11"/>
    <w:rsid w:val="0016120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61208"/>
    <w:pPr>
      <w:spacing w:before="160"/>
      <w:jc w:val="center"/>
    </w:pPr>
    <w:rPr>
      <w:i/>
      <w:iCs/>
      <w:color w:val="404040" w:themeColor="text1" w:themeTint="BF"/>
    </w:rPr>
  </w:style>
  <w:style w:type="character" w:customStyle="1" w:styleId="QuoteChar">
    <w:name w:val="Quote Char"/>
    <w:basedOn w:val="DefaultParagraphFont"/>
    <w:link w:val="Quote"/>
    <w:uiPriority w:val="29"/>
    <w:rsid w:val="00161208"/>
    <w:rPr>
      <w:i/>
      <w:iCs/>
      <w:color w:val="404040" w:themeColor="text1" w:themeTint="BF"/>
    </w:rPr>
  </w:style>
  <w:style w:type="paragraph" w:styleId="ListParagraph">
    <w:name w:val="List Paragraph"/>
    <w:basedOn w:val="Normal"/>
    <w:uiPriority w:val="34"/>
    <w:qFormat/>
    <w:rsid w:val="00161208"/>
    <w:pPr>
      <w:ind w:left="720"/>
      <w:contextualSpacing/>
    </w:pPr>
  </w:style>
  <w:style w:type="character" w:styleId="IntenseEmphasis">
    <w:name w:val="Intense Emphasis"/>
    <w:basedOn w:val="DefaultParagraphFont"/>
    <w:uiPriority w:val="21"/>
    <w:qFormat/>
    <w:rsid w:val="00161208"/>
    <w:rPr>
      <w:i/>
      <w:iCs/>
      <w:color w:val="0F4761" w:themeColor="accent1" w:themeShade="BF"/>
    </w:rPr>
  </w:style>
  <w:style w:type="paragraph" w:styleId="IntenseQuote">
    <w:name w:val="Intense Quote"/>
    <w:basedOn w:val="Normal"/>
    <w:next w:val="Normal"/>
    <w:link w:val="IntenseQuoteChar"/>
    <w:uiPriority w:val="30"/>
    <w:qFormat/>
    <w:rsid w:val="0016120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61208"/>
    <w:rPr>
      <w:i/>
      <w:iCs/>
      <w:color w:val="0F4761" w:themeColor="accent1" w:themeShade="BF"/>
    </w:rPr>
  </w:style>
  <w:style w:type="character" w:styleId="IntenseReference">
    <w:name w:val="Intense Reference"/>
    <w:basedOn w:val="DefaultParagraphFont"/>
    <w:uiPriority w:val="32"/>
    <w:qFormat/>
    <w:rsid w:val="00161208"/>
    <w:rPr>
      <w:b/>
      <w:bCs/>
      <w:smallCaps/>
      <w:color w:val="0F4761" w:themeColor="accent1" w:themeShade="BF"/>
      <w:spacing w:val="5"/>
    </w:rPr>
  </w:style>
  <w:style w:type="paragraph" w:styleId="Date">
    <w:name w:val="Date"/>
    <w:basedOn w:val="Normal"/>
    <w:next w:val="Normal"/>
    <w:link w:val="DateChar"/>
    <w:uiPriority w:val="99"/>
    <w:semiHidden/>
    <w:unhideWhenUsed/>
    <w:rsid w:val="00161208"/>
  </w:style>
  <w:style w:type="character" w:customStyle="1" w:styleId="DateChar">
    <w:name w:val="Date Char"/>
    <w:basedOn w:val="DefaultParagraphFont"/>
    <w:link w:val="Date"/>
    <w:uiPriority w:val="99"/>
    <w:semiHidden/>
    <w:rsid w:val="00161208"/>
  </w:style>
  <w:style w:type="character" w:styleId="CommentReference">
    <w:name w:val="annotation reference"/>
    <w:basedOn w:val="DefaultParagraphFont"/>
    <w:uiPriority w:val="99"/>
    <w:semiHidden/>
    <w:unhideWhenUsed/>
    <w:rsid w:val="00A8349D"/>
    <w:rPr>
      <w:sz w:val="16"/>
      <w:szCs w:val="16"/>
    </w:rPr>
  </w:style>
  <w:style w:type="paragraph" w:styleId="CommentText">
    <w:name w:val="annotation text"/>
    <w:basedOn w:val="Normal"/>
    <w:link w:val="CommentTextChar"/>
    <w:uiPriority w:val="99"/>
    <w:semiHidden/>
    <w:unhideWhenUsed/>
    <w:rsid w:val="00A8349D"/>
    <w:pPr>
      <w:spacing w:line="240" w:lineRule="auto"/>
    </w:pPr>
    <w:rPr>
      <w:sz w:val="20"/>
      <w:szCs w:val="20"/>
    </w:rPr>
  </w:style>
  <w:style w:type="character" w:customStyle="1" w:styleId="CommentTextChar">
    <w:name w:val="Comment Text Char"/>
    <w:basedOn w:val="DefaultParagraphFont"/>
    <w:link w:val="CommentText"/>
    <w:uiPriority w:val="99"/>
    <w:semiHidden/>
    <w:rsid w:val="00A8349D"/>
    <w:rPr>
      <w:sz w:val="20"/>
      <w:szCs w:val="20"/>
    </w:rPr>
  </w:style>
  <w:style w:type="paragraph" w:styleId="CommentSubject">
    <w:name w:val="annotation subject"/>
    <w:basedOn w:val="CommentText"/>
    <w:next w:val="CommentText"/>
    <w:link w:val="CommentSubjectChar"/>
    <w:uiPriority w:val="99"/>
    <w:semiHidden/>
    <w:unhideWhenUsed/>
    <w:rsid w:val="00A8349D"/>
    <w:rPr>
      <w:b/>
      <w:bCs/>
    </w:rPr>
  </w:style>
  <w:style w:type="character" w:customStyle="1" w:styleId="CommentSubjectChar">
    <w:name w:val="Comment Subject Char"/>
    <w:basedOn w:val="CommentTextChar"/>
    <w:link w:val="CommentSubject"/>
    <w:uiPriority w:val="99"/>
    <w:semiHidden/>
    <w:rsid w:val="00A8349D"/>
    <w:rPr>
      <w:b/>
      <w:bCs/>
      <w:sz w:val="20"/>
      <w:szCs w:val="20"/>
    </w:rPr>
  </w:style>
  <w:style w:type="paragraph" w:styleId="NormalWeb">
    <w:name w:val="Normal (Web)"/>
    <w:basedOn w:val="Normal"/>
    <w:uiPriority w:val="99"/>
    <w:unhideWhenUsed/>
    <w:rsid w:val="00A8349D"/>
    <w:pPr>
      <w:spacing w:before="100" w:beforeAutospacing="1" w:after="100" w:afterAutospacing="1" w:line="240" w:lineRule="auto"/>
    </w:pPr>
    <w:rPr>
      <w:rFonts w:ascii="Times New Roman" w:eastAsia="Times New Roman" w:hAnsi="Times New Roman" w:cs="Times New Roman"/>
    </w:rPr>
  </w:style>
  <w:style w:type="character" w:styleId="Hyperlink">
    <w:name w:val="Hyperlink"/>
    <w:basedOn w:val="DefaultParagraphFont"/>
    <w:uiPriority w:val="99"/>
    <w:unhideWhenUsed/>
    <w:rsid w:val="00351BA6"/>
    <w:rPr>
      <w:color w:val="467886" w:themeColor="hyperlink"/>
      <w:u w:val="single"/>
    </w:rPr>
  </w:style>
  <w:style w:type="character" w:styleId="UnresolvedMention">
    <w:name w:val="Unresolved Mention"/>
    <w:basedOn w:val="DefaultParagraphFont"/>
    <w:uiPriority w:val="99"/>
    <w:semiHidden/>
    <w:unhideWhenUsed/>
    <w:rsid w:val="00351BA6"/>
    <w:rPr>
      <w:color w:val="605E5C"/>
      <w:shd w:val="clear" w:color="auto" w:fill="E1DFDD"/>
    </w:rPr>
  </w:style>
  <w:style w:type="table" w:styleId="TableGrid">
    <w:name w:val="Table Grid"/>
    <w:basedOn w:val="TableNormal"/>
    <w:uiPriority w:val="39"/>
    <w:rsid w:val="00E125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2537614">
      <w:bodyDiv w:val="1"/>
      <w:marLeft w:val="0"/>
      <w:marRight w:val="0"/>
      <w:marTop w:val="0"/>
      <w:marBottom w:val="0"/>
      <w:divBdr>
        <w:top w:val="none" w:sz="0" w:space="0" w:color="auto"/>
        <w:left w:val="none" w:sz="0" w:space="0" w:color="auto"/>
        <w:bottom w:val="none" w:sz="0" w:space="0" w:color="auto"/>
        <w:right w:val="none" w:sz="0" w:space="0" w:color="auto"/>
      </w:divBdr>
      <w:divsChild>
        <w:div w:id="1115248416">
          <w:marLeft w:val="0"/>
          <w:marRight w:val="0"/>
          <w:marTop w:val="0"/>
          <w:marBottom w:val="0"/>
          <w:divBdr>
            <w:top w:val="none" w:sz="0" w:space="0" w:color="auto"/>
            <w:left w:val="none" w:sz="0" w:space="0" w:color="auto"/>
            <w:bottom w:val="none" w:sz="0" w:space="0" w:color="auto"/>
            <w:right w:val="none" w:sz="0" w:space="0" w:color="auto"/>
          </w:divBdr>
          <w:divsChild>
            <w:div w:id="1552762603">
              <w:marLeft w:val="0"/>
              <w:marRight w:val="0"/>
              <w:marTop w:val="0"/>
              <w:marBottom w:val="0"/>
              <w:divBdr>
                <w:top w:val="none" w:sz="0" w:space="0" w:color="auto"/>
                <w:left w:val="none" w:sz="0" w:space="0" w:color="auto"/>
                <w:bottom w:val="none" w:sz="0" w:space="0" w:color="auto"/>
                <w:right w:val="none" w:sz="0" w:space="0" w:color="auto"/>
              </w:divBdr>
              <w:divsChild>
                <w:div w:id="1229656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772058">
      <w:bodyDiv w:val="1"/>
      <w:marLeft w:val="0"/>
      <w:marRight w:val="0"/>
      <w:marTop w:val="0"/>
      <w:marBottom w:val="0"/>
      <w:divBdr>
        <w:top w:val="none" w:sz="0" w:space="0" w:color="auto"/>
        <w:left w:val="none" w:sz="0" w:space="0" w:color="auto"/>
        <w:bottom w:val="none" w:sz="0" w:space="0" w:color="auto"/>
        <w:right w:val="none" w:sz="0" w:space="0" w:color="auto"/>
      </w:divBdr>
      <w:divsChild>
        <w:div w:id="746344648">
          <w:marLeft w:val="0"/>
          <w:marRight w:val="0"/>
          <w:marTop w:val="0"/>
          <w:marBottom w:val="0"/>
          <w:divBdr>
            <w:top w:val="none" w:sz="0" w:space="0" w:color="auto"/>
            <w:left w:val="none" w:sz="0" w:space="0" w:color="auto"/>
            <w:bottom w:val="none" w:sz="0" w:space="0" w:color="auto"/>
            <w:right w:val="none" w:sz="0" w:space="0" w:color="auto"/>
          </w:divBdr>
          <w:divsChild>
            <w:div w:id="388501630">
              <w:marLeft w:val="0"/>
              <w:marRight w:val="0"/>
              <w:marTop w:val="0"/>
              <w:marBottom w:val="0"/>
              <w:divBdr>
                <w:top w:val="none" w:sz="0" w:space="0" w:color="auto"/>
                <w:left w:val="none" w:sz="0" w:space="0" w:color="auto"/>
                <w:bottom w:val="none" w:sz="0" w:space="0" w:color="auto"/>
                <w:right w:val="none" w:sz="0" w:space="0" w:color="auto"/>
              </w:divBdr>
              <w:divsChild>
                <w:div w:id="1818648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jhk815@nyu.ed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yu.edu/csd" TargetMode="External"/><Relationship Id="rId5" Type="http://schemas.openxmlformats.org/officeDocument/2006/relationships/webSettings" Target="webSettings.xml"/><Relationship Id="rId10" Type="http://schemas.openxmlformats.org/officeDocument/2006/relationships/hyperlink" Target="http://www.nyu.edu/csd" TargetMode="External"/><Relationship Id="rId4" Type="http://schemas.openxmlformats.org/officeDocument/2006/relationships/settings" Target="settings.xml"/><Relationship Id="rId9" Type="http://schemas.openxmlformats.org/officeDocument/2006/relationships/hyperlink" Target="https://wagner.nyu.edu/portal/students/academics/advisement/writing-center" TargetMode="External"/><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PaFxHxxPFYPDap9Lcu+pX63LI1g==">CgMxLjAyDmguc2pnMTBqbDVmMHM3Mg5oLm5wd3l6d3l2YXNqajIOaC50M3lwZ3Uxc3hiOXAyDmguaWpzZ3NkaWpoeXJlMg5oLm9xbW4zMXFwejdiMzIOaC5iM2I1eDR5cnJ2bHAyDmguc3IzZDV6YWRldDg5Mg5oLnJqY2R5bWJ1dDlodTIOaC42bnVjN2k2cmt0ZWIyDmgub21hNmt0Z2gzYm4yOAByITFaeGlEUExwNkhfVW5kVF94a01FMUxuU3ZVSG1GSkZSbg==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5</Pages>
  <Words>1519</Words>
  <Characters>8663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 Kim</dc:creator>
  <cp:lastModifiedBy>Daniel Mott</cp:lastModifiedBy>
  <cp:revision>14</cp:revision>
  <dcterms:created xsi:type="dcterms:W3CDTF">2024-11-11T19:48:00Z</dcterms:created>
  <dcterms:modified xsi:type="dcterms:W3CDTF">2025-04-01T03:37:00Z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bba276f-0474-4e48-a2bc-69b0eb22318c_Enabled">
    <vt:lpwstr>true</vt:lpwstr>
  </property>
  <property fmtid="{D5CDD505-2E9C-101B-9397-08002B2CF9AE}" pid="3" name="MSIP_Label_ebba276f-0474-4e48-a2bc-69b0eb22318c_SetDate">
    <vt:lpwstr>2024-12-02T21:24:27Z</vt:lpwstr>
  </property>
  <property fmtid="{D5CDD505-2E9C-101B-9397-08002B2CF9AE}" pid="4" name="MSIP_Label_ebba276f-0474-4e48-a2bc-69b0eb22318c_Method">
    <vt:lpwstr>Standard</vt:lpwstr>
  </property>
  <property fmtid="{D5CDD505-2E9C-101B-9397-08002B2CF9AE}" pid="5" name="MSIP_Label_ebba276f-0474-4e48-a2bc-69b0eb22318c_Name">
    <vt:lpwstr>Non-Restricted-Main</vt:lpwstr>
  </property>
  <property fmtid="{D5CDD505-2E9C-101B-9397-08002B2CF9AE}" pid="6" name="MSIP_Label_ebba276f-0474-4e48-a2bc-69b0eb22318c_SiteId">
    <vt:lpwstr>32f56fc7-5f81-4e22-a95b-15da66513bef</vt:lpwstr>
  </property>
  <property fmtid="{D5CDD505-2E9C-101B-9397-08002B2CF9AE}" pid="7" name="MSIP_Label_ebba276f-0474-4e48-a2bc-69b0eb22318c_ActionId">
    <vt:lpwstr>0bc18334-ee37-49f2-8dc4-1a5af42d8f36</vt:lpwstr>
  </property>
  <property fmtid="{D5CDD505-2E9C-101B-9397-08002B2CF9AE}" pid="8" name="MSIP_Label_ebba276f-0474-4e48-a2bc-69b0eb22318c_ContentBits">
    <vt:lpwstr>0</vt:lpwstr>
  </property>
</Properties>
</file>