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Below are suggestions on how we can ensure IDBE throughout our Wagner events. For </w:t>
      </w:r>
      <w:r w:rsidDel="00000000" w:rsidR="00000000" w:rsidRPr="00000000">
        <w:rPr>
          <w:sz w:val="24"/>
          <w:szCs w:val="24"/>
          <w:rtl w:val="0"/>
        </w:rPr>
        <w:t xml:space="preserve">inclusive classroom practices, please review</w:t>
      </w:r>
      <w:r w:rsidDel="00000000" w:rsidR="00000000" w:rsidRPr="00000000">
        <w:rPr>
          <w:sz w:val="24"/>
          <w:szCs w:val="24"/>
          <w:rtl w:val="0"/>
        </w:rPr>
        <w:t xml:space="preserve"> </w:t>
      </w:r>
      <w:hyperlink r:id="rId6">
        <w:r w:rsidDel="00000000" w:rsidR="00000000" w:rsidRPr="00000000">
          <w:rPr>
            <w:color w:val="1155cc"/>
            <w:sz w:val="24"/>
            <w:szCs w:val="24"/>
            <w:u w:val="single"/>
            <w:rtl w:val="0"/>
          </w:rPr>
          <w:t xml:space="preserve">Inclusive Curriculum Design and Assessment Practices</w:t>
        </w:r>
      </w:hyperlink>
      <w:r w:rsidDel="00000000" w:rsidR="00000000" w:rsidRPr="00000000">
        <w:rPr>
          <w:sz w:val="24"/>
          <w:szCs w:val="24"/>
          <w:rtl w:val="0"/>
        </w:rPr>
        <w:t xml:space="preserve">.</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Pre-Event</w:t>
      </w:r>
    </w:p>
    <w:p w:rsidR="00000000" w:rsidDel="00000000" w:rsidP="00000000" w:rsidRDefault="00000000" w:rsidRPr="00000000" w14:paraId="00000005">
      <w:pPr>
        <w:numPr>
          <w:ilvl w:val="0"/>
          <w:numId w:val="3"/>
        </w:numPr>
        <w:ind w:left="720" w:hanging="360"/>
        <w:rPr>
          <w:sz w:val="24"/>
          <w:szCs w:val="24"/>
        </w:rPr>
      </w:pPr>
      <w:r w:rsidDel="00000000" w:rsidR="00000000" w:rsidRPr="00000000">
        <w:rPr>
          <w:sz w:val="24"/>
          <w:szCs w:val="24"/>
          <w:rtl w:val="0"/>
        </w:rPr>
        <w:t xml:space="preserve">When you’re selecting speakers for your next Wagner event, please consider:</w:t>
      </w:r>
    </w:p>
    <w:p w:rsidR="00000000" w:rsidDel="00000000" w:rsidP="00000000" w:rsidRDefault="00000000" w:rsidRPr="00000000" w14:paraId="00000006">
      <w:pPr>
        <w:numPr>
          <w:ilvl w:val="1"/>
          <w:numId w:val="3"/>
        </w:numPr>
        <w:ind w:left="1440" w:hanging="360"/>
        <w:rPr>
          <w:sz w:val="24"/>
          <w:szCs w:val="24"/>
        </w:rPr>
      </w:pPr>
      <w:r w:rsidDel="00000000" w:rsidR="00000000" w:rsidRPr="00000000">
        <w:rPr>
          <w:sz w:val="24"/>
          <w:szCs w:val="24"/>
          <w:rtl w:val="0"/>
        </w:rPr>
        <w:t xml:space="preserve">What does it mean for your panel to be inclusive? </w:t>
      </w:r>
    </w:p>
    <w:p w:rsidR="00000000" w:rsidDel="00000000" w:rsidP="00000000" w:rsidRDefault="00000000" w:rsidRPr="00000000" w14:paraId="00000007">
      <w:pPr>
        <w:numPr>
          <w:ilvl w:val="2"/>
          <w:numId w:val="3"/>
        </w:numPr>
        <w:ind w:left="2160" w:hanging="360"/>
        <w:rPr>
          <w:sz w:val="24"/>
          <w:szCs w:val="24"/>
        </w:rPr>
      </w:pPr>
      <w:r w:rsidDel="00000000" w:rsidR="00000000" w:rsidRPr="00000000">
        <w:rPr>
          <w:sz w:val="24"/>
          <w:szCs w:val="24"/>
          <w:rtl w:val="0"/>
        </w:rPr>
        <w:t xml:space="preserve">Does it include speakers who identify with various experiences and identities (i.e. race/ethnicity, </w:t>
      </w:r>
      <w:r w:rsidDel="00000000" w:rsidR="00000000" w:rsidRPr="00000000">
        <w:rPr>
          <w:sz w:val="24"/>
          <w:szCs w:val="24"/>
          <w:highlight w:val="white"/>
          <w:rtl w:val="0"/>
        </w:rPr>
        <w:t xml:space="preserve">sexual orientation and</w:t>
      </w:r>
      <w:r w:rsidDel="00000000" w:rsidR="00000000" w:rsidRPr="00000000">
        <w:rPr>
          <w:rFonts w:ascii="Roboto" w:cs="Roboto" w:eastAsia="Roboto" w:hAnsi="Roboto"/>
          <w:color w:val="3c4043"/>
          <w:sz w:val="21"/>
          <w:szCs w:val="21"/>
          <w:highlight w:val="white"/>
          <w:rtl w:val="0"/>
        </w:rPr>
        <w:t xml:space="preserve"> </w:t>
      </w:r>
      <w:r w:rsidDel="00000000" w:rsidR="00000000" w:rsidRPr="00000000">
        <w:rPr>
          <w:sz w:val="24"/>
          <w:szCs w:val="24"/>
          <w:rtl w:val="0"/>
        </w:rPr>
        <w:t xml:space="preserve">gender expression</w:t>
      </w:r>
      <w:r w:rsidDel="00000000" w:rsidR="00000000" w:rsidRPr="00000000">
        <w:rPr>
          <w:sz w:val="24"/>
          <w:szCs w:val="24"/>
          <w:rtl w:val="0"/>
        </w:rPr>
        <w:t xml:space="preserve">, nationality, location, age, ability, educational backgrounds, life experience, career stage)?</w:t>
      </w:r>
      <w:r w:rsidDel="00000000" w:rsidR="00000000" w:rsidRPr="00000000">
        <w:rPr>
          <w:sz w:val="24"/>
          <w:szCs w:val="24"/>
          <w:rtl w:val="0"/>
        </w:rPr>
        <w:t xml:space="preserve"> </w:t>
      </w:r>
    </w:p>
    <w:p w:rsidR="00000000" w:rsidDel="00000000" w:rsidP="00000000" w:rsidRDefault="00000000" w:rsidRPr="00000000" w14:paraId="00000008">
      <w:pPr>
        <w:numPr>
          <w:ilvl w:val="1"/>
          <w:numId w:val="3"/>
        </w:numPr>
        <w:ind w:left="1440" w:hanging="360"/>
        <w:rPr>
          <w:sz w:val="24"/>
          <w:szCs w:val="24"/>
        </w:rPr>
      </w:pPr>
      <w:r w:rsidDel="00000000" w:rsidR="00000000" w:rsidRPr="00000000">
        <w:rPr>
          <w:sz w:val="24"/>
          <w:szCs w:val="24"/>
          <w:rtl w:val="0"/>
        </w:rPr>
        <w:t xml:space="preserve">Do the speakers have various worldviews (i.e. political affiliation, religious beliefs)? </w:t>
      </w:r>
    </w:p>
    <w:p w:rsidR="00000000" w:rsidDel="00000000" w:rsidP="00000000" w:rsidRDefault="00000000" w:rsidRPr="00000000" w14:paraId="00000009">
      <w:pPr>
        <w:numPr>
          <w:ilvl w:val="2"/>
          <w:numId w:val="3"/>
        </w:numPr>
        <w:ind w:left="2160" w:hanging="360"/>
        <w:rPr>
          <w:sz w:val="24"/>
          <w:szCs w:val="24"/>
        </w:rPr>
      </w:pPr>
      <w:r w:rsidDel="00000000" w:rsidR="00000000" w:rsidRPr="00000000">
        <w:rPr>
          <w:sz w:val="24"/>
          <w:szCs w:val="24"/>
          <w:rtl w:val="0"/>
        </w:rPr>
        <w:t xml:space="preserve">Speakers should also be open to </w:t>
      </w:r>
      <w:r w:rsidDel="00000000" w:rsidR="00000000" w:rsidRPr="00000000">
        <w:rPr>
          <w:sz w:val="24"/>
          <w:szCs w:val="24"/>
          <w:highlight w:val="white"/>
          <w:rtl w:val="0"/>
        </w:rPr>
        <w:t xml:space="preserve">engage with alternative views (refer to the </w:t>
      </w:r>
      <w:hyperlink r:id="rId7">
        <w:r w:rsidDel="00000000" w:rsidR="00000000" w:rsidRPr="00000000">
          <w:rPr>
            <w:color w:val="1155cc"/>
            <w:sz w:val="24"/>
            <w:szCs w:val="24"/>
            <w:highlight w:val="white"/>
            <w:u w:val="single"/>
            <w:rtl w:val="0"/>
          </w:rPr>
          <w:t xml:space="preserve">Guidelines for Wagner-Invited Speakers Invitation</w:t>
        </w:r>
      </w:hyperlink>
      <w:r w:rsidDel="00000000" w:rsidR="00000000" w:rsidRPr="00000000">
        <w:rPr>
          <w:sz w:val="24"/>
          <w:szCs w:val="24"/>
          <w:highlight w:val="white"/>
          <w:rtl w:val="0"/>
        </w:rPr>
        <w:t xml:space="preserve">). </w:t>
      </w:r>
    </w:p>
    <w:p w:rsidR="00000000" w:rsidDel="00000000" w:rsidP="00000000" w:rsidRDefault="00000000" w:rsidRPr="00000000" w14:paraId="0000000A">
      <w:pPr>
        <w:numPr>
          <w:ilvl w:val="0"/>
          <w:numId w:val="1"/>
        </w:numPr>
        <w:ind w:left="720" w:hanging="360"/>
        <w:rPr>
          <w:sz w:val="24"/>
          <w:szCs w:val="24"/>
          <w:highlight w:val="white"/>
        </w:rPr>
      </w:pPr>
      <w:r w:rsidDel="00000000" w:rsidR="00000000" w:rsidRPr="00000000">
        <w:rPr>
          <w:sz w:val="24"/>
          <w:szCs w:val="24"/>
          <w:highlight w:val="white"/>
          <w:rtl w:val="0"/>
        </w:rPr>
        <w:t xml:space="preserve">When marketing your event, how can you expand the diversity of the audience </w:t>
      </w:r>
      <w:r w:rsidDel="00000000" w:rsidR="00000000" w:rsidRPr="00000000">
        <w:rPr>
          <w:sz w:val="24"/>
          <w:szCs w:val="24"/>
          <w:highlight w:val="white"/>
          <w:rtl w:val="0"/>
        </w:rPr>
        <w:t xml:space="preserve">(i.e. include organizations who support education among underrepresented communities)?</w:t>
      </w:r>
      <w:r w:rsidDel="00000000" w:rsidR="00000000" w:rsidRPr="00000000">
        <w:rPr>
          <w:rtl w:val="0"/>
        </w:rPr>
      </w:r>
    </w:p>
    <w:p w:rsidR="00000000" w:rsidDel="00000000" w:rsidP="00000000" w:rsidRDefault="00000000" w:rsidRPr="00000000" w14:paraId="0000000B">
      <w:pPr>
        <w:numPr>
          <w:ilvl w:val="1"/>
          <w:numId w:val="1"/>
        </w:numPr>
        <w:ind w:left="1440" w:hanging="360"/>
        <w:rPr>
          <w:sz w:val="24"/>
          <w:szCs w:val="24"/>
          <w:highlight w:val="white"/>
        </w:rPr>
      </w:pPr>
      <w:r w:rsidDel="00000000" w:rsidR="00000000" w:rsidRPr="00000000">
        <w:rPr>
          <w:sz w:val="24"/>
          <w:szCs w:val="24"/>
          <w:highlight w:val="white"/>
          <w:rtl w:val="0"/>
        </w:rPr>
        <w:t xml:space="preserve">Consider h</w:t>
      </w:r>
      <w:r w:rsidDel="00000000" w:rsidR="00000000" w:rsidRPr="00000000">
        <w:rPr>
          <w:sz w:val="24"/>
          <w:szCs w:val="24"/>
          <w:highlight w:val="white"/>
          <w:rtl w:val="0"/>
        </w:rPr>
        <w:t xml:space="preserve">olding events at various times and on various days so those who are working, have responsibilities like child/elder care, etc. can attend.</w:t>
      </w:r>
      <w:r w:rsidDel="00000000" w:rsidR="00000000" w:rsidRPr="00000000">
        <w:rPr>
          <w:rtl w:val="0"/>
        </w:rPr>
      </w:r>
    </w:p>
    <w:p w:rsidR="00000000" w:rsidDel="00000000" w:rsidP="00000000" w:rsidRDefault="00000000" w:rsidRPr="00000000" w14:paraId="0000000C">
      <w:pPr>
        <w:numPr>
          <w:ilvl w:val="1"/>
          <w:numId w:val="1"/>
        </w:numPr>
        <w:ind w:left="1440" w:hanging="360"/>
        <w:rPr>
          <w:sz w:val="24"/>
          <w:szCs w:val="24"/>
          <w:highlight w:val="white"/>
        </w:rPr>
      </w:pPr>
      <w:r w:rsidDel="00000000" w:rsidR="00000000" w:rsidRPr="00000000">
        <w:rPr>
          <w:sz w:val="24"/>
          <w:szCs w:val="24"/>
          <w:highlight w:val="white"/>
          <w:rtl w:val="0"/>
        </w:rPr>
        <w:t xml:space="preserve">For current student/public facing events, </w:t>
      </w:r>
    </w:p>
    <w:p w:rsidR="00000000" w:rsidDel="00000000" w:rsidP="00000000" w:rsidRDefault="00000000" w:rsidRPr="00000000" w14:paraId="0000000D">
      <w:pPr>
        <w:numPr>
          <w:ilvl w:val="2"/>
          <w:numId w:val="1"/>
        </w:numPr>
        <w:shd w:fill="ffffff" w:val="clear"/>
        <w:ind w:left="2160" w:hanging="360"/>
        <w:rPr>
          <w:sz w:val="24"/>
          <w:szCs w:val="24"/>
        </w:rPr>
      </w:pPr>
      <w:r w:rsidDel="00000000" w:rsidR="00000000" w:rsidRPr="00000000">
        <w:rPr>
          <w:sz w:val="24"/>
          <w:szCs w:val="24"/>
          <w:highlight w:val="white"/>
          <w:rtl w:val="0"/>
        </w:rPr>
        <w:t xml:space="preserve">Directly reaching out and advertising events to student affinity groups at NYU Wagner and also asking respective chairs to promote within their group members</w:t>
      </w:r>
    </w:p>
    <w:p w:rsidR="00000000" w:rsidDel="00000000" w:rsidP="00000000" w:rsidRDefault="00000000" w:rsidRPr="00000000" w14:paraId="0000000E">
      <w:pPr>
        <w:numPr>
          <w:ilvl w:val="2"/>
          <w:numId w:val="1"/>
        </w:numPr>
        <w:ind w:left="2160" w:hanging="360"/>
        <w:rPr>
          <w:sz w:val="24"/>
          <w:szCs w:val="24"/>
          <w:highlight w:val="white"/>
        </w:rPr>
      </w:pPr>
      <w:r w:rsidDel="00000000" w:rsidR="00000000" w:rsidRPr="00000000">
        <w:rPr>
          <w:sz w:val="24"/>
          <w:szCs w:val="24"/>
          <w:highlight w:val="white"/>
          <w:rtl w:val="0"/>
        </w:rPr>
        <w:t xml:space="preserve">Partner with an NYU or outside organization to expand the reach of your event to diverse groups of audiences.</w:t>
      </w:r>
      <w:r w:rsidDel="00000000" w:rsidR="00000000" w:rsidRPr="00000000">
        <w:rPr>
          <w:rtl w:val="0"/>
        </w:rPr>
      </w:r>
    </w:p>
    <w:p w:rsidR="00000000" w:rsidDel="00000000" w:rsidP="00000000" w:rsidRDefault="00000000" w:rsidRPr="00000000" w14:paraId="0000000F">
      <w:pPr>
        <w:numPr>
          <w:ilvl w:val="1"/>
          <w:numId w:val="1"/>
        </w:numPr>
        <w:ind w:left="1440" w:hanging="360"/>
        <w:rPr>
          <w:sz w:val="24"/>
          <w:szCs w:val="24"/>
          <w:highlight w:val="white"/>
        </w:rPr>
      </w:pPr>
      <w:r w:rsidDel="00000000" w:rsidR="00000000" w:rsidRPr="00000000">
        <w:rPr>
          <w:sz w:val="24"/>
          <w:szCs w:val="24"/>
          <w:highlight w:val="white"/>
          <w:rtl w:val="0"/>
        </w:rPr>
        <w:t xml:space="preserve">For events aimed at new prospective students, consider paid promotion that reaches diverse groups of audiences.</w:t>
      </w:r>
      <w:r w:rsidDel="00000000" w:rsidR="00000000" w:rsidRPr="00000000">
        <w:rPr>
          <w:rtl w:val="0"/>
        </w:rPr>
      </w:r>
    </w:p>
    <w:p w:rsidR="00000000" w:rsidDel="00000000" w:rsidP="00000000" w:rsidRDefault="00000000" w:rsidRPr="00000000" w14:paraId="00000010">
      <w:pPr>
        <w:numPr>
          <w:ilvl w:val="0"/>
          <w:numId w:val="1"/>
        </w:numPr>
        <w:ind w:left="720" w:hanging="360"/>
        <w:rPr>
          <w:sz w:val="24"/>
          <w:szCs w:val="24"/>
          <w:highlight w:val="white"/>
        </w:rPr>
      </w:pPr>
      <w:r w:rsidDel="00000000" w:rsidR="00000000" w:rsidRPr="00000000">
        <w:rPr>
          <w:sz w:val="24"/>
          <w:szCs w:val="24"/>
          <w:highlight w:val="white"/>
          <w:rtl w:val="0"/>
        </w:rPr>
        <w:t xml:space="preserve">Is your event accessible for all (i.e. closed captioning, sign language)</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11">
      <w:pPr>
        <w:numPr>
          <w:ilvl w:val="1"/>
          <w:numId w:val="1"/>
        </w:numPr>
        <w:spacing w:after="0" w:afterAutospacing="0" w:lineRule="auto"/>
        <w:ind w:left="1440" w:hanging="360"/>
        <w:rPr>
          <w:sz w:val="24"/>
          <w:szCs w:val="24"/>
          <w:highlight w:val="white"/>
        </w:rPr>
      </w:pPr>
      <w:r w:rsidDel="00000000" w:rsidR="00000000" w:rsidRPr="00000000">
        <w:rPr>
          <w:sz w:val="24"/>
          <w:szCs w:val="24"/>
          <w:rtl w:val="0"/>
        </w:rPr>
        <w:t xml:space="preserve">All events listed under </w:t>
      </w:r>
      <w:hyperlink r:id="rId8">
        <w:r w:rsidDel="00000000" w:rsidR="00000000" w:rsidRPr="00000000">
          <w:rPr>
            <w:color w:val="1155cc"/>
            <w:sz w:val="24"/>
            <w:szCs w:val="24"/>
            <w:u w:val="single"/>
            <w:rtl w:val="0"/>
          </w:rPr>
          <w:t xml:space="preserve">Wagner events</w:t>
        </w:r>
      </w:hyperlink>
      <w:r w:rsidDel="00000000" w:rsidR="00000000" w:rsidRPr="00000000">
        <w:rPr>
          <w:sz w:val="24"/>
          <w:szCs w:val="24"/>
          <w:rtl w:val="0"/>
        </w:rPr>
        <w:t xml:space="preserve"> have the following accommodations statement. Please use the below language if needed. </w:t>
      </w:r>
    </w:p>
    <w:p w:rsidR="00000000" w:rsidDel="00000000" w:rsidP="00000000" w:rsidRDefault="00000000" w:rsidRPr="00000000" w14:paraId="00000012">
      <w:pPr>
        <w:numPr>
          <w:ilvl w:val="2"/>
          <w:numId w:val="1"/>
        </w:numPr>
        <w:spacing w:after="0" w:afterAutospacing="0" w:lineRule="auto"/>
        <w:ind w:left="2160" w:hanging="360"/>
        <w:rPr>
          <w:sz w:val="24"/>
          <w:szCs w:val="24"/>
          <w:u w:val="none"/>
        </w:rPr>
      </w:pPr>
      <w:r w:rsidDel="00000000" w:rsidR="00000000" w:rsidRPr="00000000">
        <w:rPr>
          <w:rFonts w:ascii="Georgia" w:cs="Georgia" w:eastAsia="Georgia" w:hAnsi="Georgia"/>
          <w:i w:val="1"/>
          <w:color w:val="1f1f1f"/>
          <w:sz w:val="24"/>
          <w:szCs w:val="24"/>
          <w:highlight w:val="white"/>
          <w:rtl w:val="0"/>
        </w:rPr>
        <w:t xml:space="preserve">NYU Wagner provides reasonable accommodations to people with disabilities. Requests for accommodations for events and services should be submitted at least two weeks before the date of the accommodation need. Please email </w:t>
      </w:r>
      <w:r w:rsidDel="00000000" w:rsidR="00000000" w:rsidRPr="00000000">
        <w:rPr>
          <w:rFonts w:ascii="Georgia" w:cs="Georgia" w:eastAsia="Georgia" w:hAnsi="Georgia"/>
          <w:sz w:val="24"/>
          <w:szCs w:val="24"/>
          <w:highlight w:val="white"/>
          <w:rtl w:val="0"/>
        </w:rPr>
        <w:t xml:space="preserve">(add email) </w:t>
      </w:r>
      <w:r w:rsidDel="00000000" w:rsidR="00000000" w:rsidRPr="00000000">
        <w:rPr>
          <w:rFonts w:ascii="Georgia" w:cs="Georgia" w:eastAsia="Georgia" w:hAnsi="Georgia"/>
          <w:sz w:val="24"/>
          <w:szCs w:val="24"/>
          <w:highlight w:val="white"/>
          <w:rtl w:val="0"/>
        </w:rPr>
        <w:t xml:space="preserve">or call </w:t>
      </w:r>
      <w:r w:rsidDel="00000000" w:rsidR="00000000" w:rsidRPr="00000000">
        <w:rPr>
          <w:rFonts w:ascii="Georgia" w:cs="Georgia" w:eastAsia="Georgia" w:hAnsi="Georgia"/>
          <w:i w:val="1"/>
          <w:color w:val="1f1f1f"/>
          <w:sz w:val="24"/>
          <w:szCs w:val="24"/>
          <w:highlight w:val="white"/>
          <w:rtl w:val="0"/>
        </w:rPr>
        <w:t xml:space="preserve">212.998.7400 for assistance.</w:t>
      </w:r>
      <w:r w:rsidDel="00000000" w:rsidR="00000000" w:rsidRPr="00000000">
        <w:rPr>
          <w:rtl w:val="0"/>
        </w:rPr>
      </w:r>
    </w:p>
    <w:p w:rsidR="00000000" w:rsidDel="00000000" w:rsidP="00000000" w:rsidRDefault="00000000" w:rsidRPr="00000000" w14:paraId="00000013">
      <w:pPr>
        <w:numPr>
          <w:ilvl w:val="1"/>
          <w:numId w:val="1"/>
        </w:numPr>
        <w:spacing w:after="0" w:afterAutospacing="0" w:lineRule="auto"/>
        <w:ind w:left="1440" w:hanging="360"/>
        <w:rPr>
          <w:sz w:val="24"/>
          <w:szCs w:val="24"/>
          <w:highlight w:val="white"/>
        </w:rPr>
      </w:pPr>
      <w:r w:rsidDel="00000000" w:rsidR="00000000" w:rsidRPr="00000000">
        <w:rPr>
          <w:sz w:val="24"/>
          <w:szCs w:val="24"/>
          <w:rtl w:val="0"/>
        </w:rPr>
        <w:t xml:space="preserve">For accommodation requests including American Sign Language (ASL) interpreters, please contact the</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Moses Center</w:t>
        </w:r>
      </w:hyperlink>
      <w:r w:rsidDel="00000000" w:rsidR="00000000" w:rsidRPr="00000000">
        <w:rPr>
          <w:sz w:val="24"/>
          <w:szCs w:val="24"/>
          <w:rtl w:val="0"/>
        </w:rPr>
        <w:t xml:space="preserve"> at </w:t>
      </w:r>
      <w:hyperlink r:id="rId11">
        <w:r w:rsidDel="00000000" w:rsidR="00000000" w:rsidRPr="00000000">
          <w:rPr>
            <w:color w:val="1155cc"/>
            <w:sz w:val="23"/>
            <w:szCs w:val="23"/>
            <w:u w:val="single"/>
            <w:rtl w:val="0"/>
          </w:rPr>
          <w:t xml:space="preserve">mosescsd@nyu.edu</w:t>
        </w:r>
      </w:hyperlink>
      <w:r w:rsidDel="00000000" w:rsidR="00000000" w:rsidRPr="00000000">
        <w:rPr>
          <w:sz w:val="24"/>
          <w:szCs w:val="24"/>
          <w:rtl w:val="0"/>
        </w:rPr>
        <w:t xml:space="preserve">. For live captioning also known as CART (Communication Access Realtime Translation), reach out to </w:t>
      </w:r>
      <w:hyperlink r:id="rId12">
        <w:r w:rsidDel="00000000" w:rsidR="00000000" w:rsidRPr="00000000">
          <w:rPr>
            <w:color w:val="1155cc"/>
            <w:sz w:val="24"/>
            <w:szCs w:val="24"/>
            <w:u w:val="single"/>
            <w:rtl w:val="0"/>
          </w:rPr>
          <w:t xml:space="preserve">Ai Media</w:t>
        </w:r>
      </w:hyperlink>
      <w:r w:rsidDel="00000000" w:rsidR="00000000" w:rsidRPr="00000000">
        <w:rPr>
          <w:sz w:val="24"/>
          <w:szCs w:val="24"/>
          <w:rtl w:val="0"/>
        </w:rPr>
        <w:t xml:space="preserve">,</w:t>
      </w:r>
      <w:r w:rsidDel="00000000" w:rsidR="00000000" w:rsidRPr="00000000">
        <w:rPr>
          <w:sz w:val="24"/>
          <w:szCs w:val="24"/>
          <w:rtl w:val="0"/>
        </w:rPr>
        <w:t xml:space="preserve"> which was selected as a vendor to provide captioning services for the NYU community.</w:t>
      </w:r>
    </w:p>
    <w:p w:rsidR="00000000" w:rsidDel="00000000" w:rsidP="00000000" w:rsidRDefault="00000000" w:rsidRPr="00000000" w14:paraId="00000014">
      <w:pPr>
        <w:numPr>
          <w:ilvl w:val="1"/>
          <w:numId w:val="1"/>
        </w:numPr>
        <w:spacing w:after="0" w:afterAutospacing="0" w:lineRule="auto"/>
        <w:ind w:left="1440" w:hanging="360"/>
        <w:rPr>
          <w:sz w:val="24"/>
          <w:szCs w:val="24"/>
          <w:u w:val="none"/>
        </w:rPr>
      </w:pPr>
      <w:r w:rsidDel="00000000" w:rsidR="00000000" w:rsidRPr="00000000">
        <w:rPr>
          <w:sz w:val="24"/>
          <w:szCs w:val="24"/>
          <w:rtl w:val="0"/>
        </w:rPr>
        <w:t xml:space="preserve">Are the presentation materials (i.e. powerpoint, Google slides) presented in colors that are colorblind friendly (i.e. charts, graphics)? </w:t>
      </w:r>
    </w:p>
    <w:p w:rsidR="00000000" w:rsidDel="00000000" w:rsidP="00000000" w:rsidRDefault="00000000" w:rsidRPr="00000000" w14:paraId="00000015">
      <w:pPr>
        <w:numPr>
          <w:ilvl w:val="2"/>
          <w:numId w:val="1"/>
        </w:numPr>
        <w:spacing w:after="240" w:lineRule="auto"/>
        <w:ind w:left="2160" w:hanging="360"/>
        <w:rPr>
          <w:sz w:val="24"/>
          <w:szCs w:val="24"/>
        </w:rPr>
      </w:pPr>
      <w:r w:rsidDel="00000000" w:rsidR="00000000" w:rsidRPr="00000000">
        <w:rPr>
          <w:sz w:val="24"/>
          <w:szCs w:val="24"/>
          <w:rtl w:val="0"/>
        </w:rPr>
        <w:t xml:space="preserve">Refer to </w:t>
      </w:r>
      <w:hyperlink r:id="rId13">
        <w:r w:rsidDel="00000000" w:rsidR="00000000" w:rsidRPr="00000000">
          <w:rPr>
            <w:color w:val="1155cc"/>
            <w:sz w:val="24"/>
            <w:szCs w:val="24"/>
            <w:u w:val="single"/>
            <w:rtl w:val="0"/>
          </w:rPr>
          <w:t xml:space="preserve">NYU Accessible Online Events Resource Guide</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6">
      <w:pPr>
        <w:ind w:left="0" w:firstLine="0"/>
        <w:rPr>
          <w:b w:val="1"/>
          <w:color w:val="1f1f1f"/>
          <w:sz w:val="24"/>
          <w:szCs w:val="24"/>
          <w:highlight w:val="white"/>
        </w:rPr>
      </w:pPr>
      <w:r w:rsidDel="00000000" w:rsidR="00000000" w:rsidRPr="00000000">
        <w:rPr>
          <w:b w:val="1"/>
          <w:color w:val="1f1f1f"/>
          <w:sz w:val="24"/>
          <w:szCs w:val="24"/>
          <w:highlight w:val="white"/>
          <w:rtl w:val="0"/>
        </w:rPr>
        <w:t xml:space="preserve">Event</w:t>
      </w:r>
      <w:r w:rsidDel="00000000" w:rsidR="00000000" w:rsidRPr="00000000">
        <w:rPr>
          <w:rtl w:val="0"/>
        </w:rPr>
      </w:r>
    </w:p>
    <w:p w:rsidR="00000000" w:rsidDel="00000000" w:rsidP="00000000" w:rsidRDefault="00000000" w:rsidRPr="00000000" w14:paraId="00000017">
      <w:pPr>
        <w:numPr>
          <w:ilvl w:val="0"/>
          <w:numId w:val="1"/>
        </w:numPr>
        <w:ind w:left="720" w:hanging="360"/>
        <w:rPr>
          <w:sz w:val="24"/>
          <w:szCs w:val="24"/>
          <w:highlight w:val="white"/>
        </w:rPr>
      </w:pPr>
      <w:r w:rsidDel="00000000" w:rsidR="00000000" w:rsidRPr="00000000">
        <w:rPr>
          <w:sz w:val="24"/>
          <w:szCs w:val="24"/>
          <w:highlight w:val="white"/>
          <w:rtl w:val="0"/>
        </w:rPr>
        <w:t xml:space="preserve">Have you considered how you will introduce your speakers? </w:t>
      </w:r>
    </w:p>
    <w:p w:rsidR="00000000" w:rsidDel="00000000" w:rsidP="00000000" w:rsidRDefault="00000000" w:rsidRPr="00000000" w14:paraId="00000018">
      <w:pPr>
        <w:numPr>
          <w:ilvl w:val="1"/>
          <w:numId w:val="1"/>
        </w:numPr>
        <w:ind w:left="1440" w:hanging="360"/>
        <w:rPr>
          <w:sz w:val="24"/>
          <w:szCs w:val="24"/>
          <w:highlight w:val="white"/>
        </w:rPr>
      </w:pPr>
      <w:r w:rsidDel="00000000" w:rsidR="00000000" w:rsidRPr="00000000">
        <w:rPr>
          <w:sz w:val="24"/>
          <w:szCs w:val="24"/>
          <w:highlight w:val="white"/>
          <w:rtl w:val="0"/>
        </w:rPr>
        <w:t xml:space="preserve">Consider asking them their </w:t>
      </w:r>
      <w:r w:rsidDel="00000000" w:rsidR="00000000" w:rsidRPr="00000000">
        <w:rPr>
          <w:sz w:val="24"/>
          <w:szCs w:val="24"/>
          <w:highlight w:val="white"/>
          <w:rtl w:val="0"/>
        </w:rPr>
        <w:t xml:space="preserve">preferred names, name pronunciation, and </w:t>
      </w:r>
      <w:hyperlink r:id="rId14">
        <w:r w:rsidDel="00000000" w:rsidR="00000000" w:rsidRPr="00000000">
          <w:rPr>
            <w:color w:val="1155cc"/>
            <w:sz w:val="24"/>
            <w:szCs w:val="24"/>
            <w:highlight w:val="white"/>
            <w:u w:val="single"/>
            <w:rtl w:val="0"/>
          </w:rPr>
          <w:t xml:space="preserve">pronouns</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19">
      <w:pPr>
        <w:numPr>
          <w:ilvl w:val="0"/>
          <w:numId w:val="1"/>
        </w:numPr>
        <w:ind w:left="720" w:hanging="360"/>
        <w:rPr>
          <w:sz w:val="24"/>
          <w:szCs w:val="24"/>
          <w:highlight w:val="white"/>
        </w:rPr>
      </w:pPr>
      <w:r w:rsidDel="00000000" w:rsidR="00000000" w:rsidRPr="00000000">
        <w:rPr>
          <w:sz w:val="24"/>
          <w:szCs w:val="24"/>
          <w:highlight w:val="white"/>
          <w:rtl w:val="0"/>
        </w:rPr>
        <w:t xml:space="preserve">How can you incorporate IDBE questions based on the panel topics and speakers? </w:t>
      </w:r>
      <w:r w:rsidDel="00000000" w:rsidR="00000000" w:rsidRPr="00000000">
        <w:rPr>
          <w:rtl w:val="0"/>
        </w:rPr>
      </w:r>
    </w:p>
    <w:p w:rsidR="00000000" w:rsidDel="00000000" w:rsidP="00000000" w:rsidRDefault="00000000" w:rsidRPr="00000000" w14:paraId="0000001A">
      <w:pPr>
        <w:numPr>
          <w:ilvl w:val="1"/>
          <w:numId w:val="1"/>
        </w:numPr>
        <w:ind w:left="1440" w:hanging="360"/>
        <w:rPr>
          <w:sz w:val="24"/>
          <w:szCs w:val="24"/>
          <w:highlight w:val="white"/>
        </w:rPr>
      </w:pPr>
      <w:r w:rsidDel="00000000" w:rsidR="00000000" w:rsidRPr="00000000">
        <w:rPr>
          <w:sz w:val="24"/>
          <w:szCs w:val="24"/>
          <w:highlight w:val="white"/>
          <w:rtl w:val="0"/>
        </w:rPr>
        <w:t xml:space="preserve">For example, OCS suggests the below questions:</w:t>
      </w:r>
      <w:r w:rsidDel="00000000" w:rsidR="00000000" w:rsidRPr="00000000">
        <w:rPr>
          <w:rtl w:val="0"/>
        </w:rPr>
      </w:r>
    </w:p>
    <w:p w:rsidR="00000000" w:rsidDel="00000000" w:rsidP="00000000" w:rsidRDefault="00000000" w:rsidRPr="00000000" w14:paraId="0000001B">
      <w:pPr>
        <w:numPr>
          <w:ilvl w:val="2"/>
          <w:numId w:val="1"/>
        </w:numPr>
        <w:ind w:left="2160" w:hanging="360"/>
        <w:rPr>
          <w:sz w:val="24"/>
          <w:szCs w:val="24"/>
          <w:highlight w:val="white"/>
        </w:rPr>
      </w:pPr>
      <w:r w:rsidDel="00000000" w:rsidR="00000000" w:rsidRPr="00000000">
        <w:rPr>
          <w:sz w:val="24"/>
          <w:szCs w:val="24"/>
          <w:highlight w:val="white"/>
          <w:rtl w:val="0"/>
        </w:rPr>
        <w:t xml:space="preserve">How does your organization approach equity, diversity, and inclusion? What are the most pressing challenges in the field that you see in regards to IDBE?</w:t>
      </w:r>
    </w:p>
    <w:p w:rsidR="00000000" w:rsidDel="00000000" w:rsidP="00000000" w:rsidRDefault="00000000" w:rsidRPr="00000000" w14:paraId="0000001C">
      <w:pPr>
        <w:numPr>
          <w:ilvl w:val="2"/>
          <w:numId w:val="1"/>
        </w:numPr>
        <w:ind w:left="2160" w:hanging="360"/>
        <w:rPr>
          <w:sz w:val="24"/>
          <w:szCs w:val="24"/>
          <w:highlight w:val="white"/>
        </w:rPr>
      </w:pPr>
      <w:r w:rsidDel="00000000" w:rsidR="00000000" w:rsidRPr="00000000">
        <w:rPr>
          <w:sz w:val="24"/>
          <w:szCs w:val="24"/>
          <w:highlight w:val="white"/>
          <w:rtl w:val="0"/>
        </w:rPr>
        <w:t xml:space="preserve">What are the most salient Diversity, Belonging, and Equity (IDBE) issues that you see from where you sit? How does your organization/agency address diversity and representation?</w:t>
      </w:r>
    </w:p>
    <w:p w:rsidR="00000000" w:rsidDel="00000000" w:rsidP="00000000" w:rsidRDefault="00000000" w:rsidRPr="00000000" w14:paraId="0000001D">
      <w:pPr>
        <w:numPr>
          <w:ilvl w:val="1"/>
          <w:numId w:val="1"/>
        </w:numPr>
        <w:ind w:left="1440" w:hanging="360"/>
        <w:rPr>
          <w:sz w:val="24"/>
          <w:szCs w:val="24"/>
          <w:highlight w:val="white"/>
        </w:rPr>
      </w:pPr>
      <w:r w:rsidDel="00000000" w:rsidR="00000000" w:rsidRPr="00000000">
        <w:rPr>
          <w:sz w:val="24"/>
          <w:szCs w:val="24"/>
          <w:highlight w:val="white"/>
          <w:rtl w:val="0"/>
        </w:rPr>
        <w:t xml:space="preserve">Another example, specifically for International Development event, OCS proposed the below question:</w:t>
      </w:r>
    </w:p>
    <w:p w:rsidR="00000000" w:rsidDel="00000000" w:rsidP="00000000" w:rsidRDefault="00000000" w:rsidRPr="00000000" w14:paraId="0000001E">
      <w:pPr>
        <w:numPr>
          <w:ilvl w:val="2"/>
          <w:numId w:val="1"/>
        </w:numPr>
        <w:ind w:left="2160" w:hanging="360"/>
        <w:rPr>
          <w:sz w:val="24"/>
          <w:szCs w:val="24"/>
          <w:highlight w:val="white"/>
        </w:rPr>
      </w:pPr>
      <w:r w:rsidDel="00000000" w:rsidR="00000000" w:rsidRPr="00000000">
        <w:rPr>
          <w:sz w:val="24"/>
          <w:szCs w:val="24"/>
          <w:highlight w:val="white"/>
          <w:rtl w:val="0"/>
        </w:rPr>
        <w:t xml:space="preserve">As the field of international development has transitioned over the last decade towards more local hiring and training, how has your organization responded to this shift? What does this mean for students who want to work in or with countries that they are not from?</w:t>
      </w:r>
    </w:p>
    <w:p w:rsidR="00000000" w:rsidDel="00000000" w:rsidP="00000000" w:rsidRDefault="00000000" w:rsidRPr="00000000" w14:paraId="0000001F">
      <w:pPr>
        <w:numPr>
          <w:ilvl w:val="0"/>
          <w:numId w:val="2"/>
        </w:numPr>
        <w:ind w:left="720" w:hanging="360"/>
        <w:rPr>
          <w:sz w:val="24"/>
          <w:szCs w:val="24"/>
        </w:rPr>
      </w:pPr>
      <w:r w:rsidDel="00000000" w:rsidR="00000000" w:rsidRPr="00000000">
        <w:rPr>
          <w:sz w:val="24"/>
          <w:szCs w:val="24"/>
          <w:highlight w:val="white"/>
          <w:rtl w:val="0"/>
        </w:rPr>
        <w:t xml:space="preserve">How will you enhance/increase inclusive engagement and participation at virtual events?</w:t>
      </w:r>
    </w:p>
    <w:p w:rsidR="00000000" w:rsidDel="00000000" w:rsidP="00000000" w:rsidRDefault="00000000" w:rsidRPr="00000000" w14:paraId="00000020">
      <w:pPr>
        <w:numPr>
          <w:ilvl w:val="1"/>
          <w:numId w:val="2"/>
        </w:numPr>
        <w:ind w:left="1440" w:hanging="360"/>
        <w:rPr>
          <w:sz w:val="24"/>
          <w:szCs w:val="24"/>
          <w:highlight w:val="white"/>
        </w:rPr>
      </w:pPr>
      <w:r w:rsidDel="00000000" w:rsidR="00000000" w:rsidRPr="00000000">
        <w:rPr>
          <w:sz w:val="24"/>
          <w:szCs w:val="24"/>
          <w:highlight w:val="white"/>
          <w:rtl w:val="0"/>
        </w:rPr>
        <w:t xml:space="preserve">Consider breakout rooms, polls, and chat function such as:</w:t>
      </w:r>
    </w:p>
    <w:p w:rsidR="00000000" w:rsidDel="00000000" w:rsidP="00000000" w:rsidRDefault="00000000" w:rsidRPr="00000000" w14:paraId="00000021">
      <w:pPr>
        <w:numPr>
          <w:ilvl w:val="2"/>
          <w:numId w:val="2"/>
        </w:numPr>
        <w:ind w:left="2160" w:hanging="360"/>
        <w:rPr>
          <w:sz w:val="24"/>
          <w:szCs w:val="24"/>
          <w:highlight w:val="white"/>
          <w:u w:val="none"/>
        </w:rPr>
      </w:pPr>
      <w:hyperlink r:id="rId15">
        <w:r w:rsidDel="00000000" w:rsidR="00000000" w:rsidRPr="00000000">
          <w:rPr>
            <w:color w:val="1155cc"/>
            <w:sz w:val="24"/>
            <w:szCs w:val="24"/>
            <w:highlight w:val="white"/>
            <w:u w:val="single"/>
            <w:rtl w:val="0"/>
          </w:rPr>
          <w:t xml:space="preserve">Poll Everywhere</w:t>
        </w:r>
      </w:hyperlink>
      <w:r w:rsidDel="00000000" w:rsidR="00000000" w:rsidRPr="00000000">
        <w:rPr>
          <w:sz w:val="24"/>
          <w:szCs w:val="24"/>
          <w:highlight w:val="white"/>
          <w:rtl w:val="0"/>
        </w:rPr>
        <w:t xml:space="preserve"> (polling)</w:t>
      </w:r>
    </w:p>
    <w:p w:rsidR="00000000" w:rsidDel="00000000" w:rsidP="00000000" w:rsidRDefault="00000000" w:rsidRPr="00000000" w14:paraId="00000022">
      <w:pPr>
        <w:numPr>
          <w:ilvl w:val="2"/>
          <w:numId w:val="2"/>
        </w:numPr>
        <w:ind w:left="2160" w:hanging="360"/>
        <w:rPr>
          <w:sz w:val="24"/>
          <w:szCs w:val="24"/>
          <w:highlight w:val="white"/>
          <w:u w:val="none"/>
        </w:rPr>
      </w:pPr>
      <w:hyperlink r:id="rId16">
        <w:r w:rsidDel="00000000" w:rsidR="00000000" w:rsidRPr="00000000">
          <w:rPr>
            <w:color w:val="1155cc"/>
            <w:sz w:val="24"/>
            <w:szCs w:val="24"/>
            <w:highlight w:val="white"/>
            <w:u w:val="single"/>
            <w:rtl w:val="0"/>
          </w:rPr>
          <w:t xml:space="preserve">Padlet</w:t>
        </w:r>
      </w:hyperlink>
      <w:r w:rsidDel="00000000" w:rsidR="00000000" w:rsidRPr="00000000">
        <w:rPr>
          <w:sz w:val="24"/>
          <w:szCs w:val="24"/>
          <w:highlight w:val="white"/>
          <w:rtl w:val="0"/>
        </w:rPr>
        <w:t xml:space="preserve"> and </w:t>
      </w:r>
      <w:hyperlink r:id="rId17">
        <w:r w:rsidDel="00000000" w:rsidR="00000000" w:rsidRPr="00000000">
          <w:rPr>
            <w:color w:val="1155cc"/>
            <w:sz w:val="24"/>
            <w:szCs w:val="24"/>
            <w:highlight w:val="white"/>
            <w:u w:val="single"/>
            <w:rtl w:val="0"/>
          </w:rPr>
          <w:t xml:space="preserve">Jamboard</w:t>
        </w:r>
      </w:hyperlink>
      <w:r w:rsidDel="00000000" w:rsidR="00000000" w:rsidRPr="00000000">
        <w:rPr>
          <w:sz w:val="24"/>
          <w:szCs w:val="24"/>
          <w:highlight w:val="white"/>
          <w:rtl w:val="0"/>
        </w:rPr>
        <w:t xml:space="preserve"> (note-taking)</w:t>
      </w:r>
    </w:p>
    <w:p w:rsidR="00000000" w:rsidDel="00000000" w:rsidP="00000000" w:rsidRDefault="00000000" w:rsidRPr="00000000" w14:paraId="00000023">
      <w:pPr>
        <w:numPr>
          <w:ilvl w:val="0"/>
          <w:numId w:val="2"/>
        </w:numPr>
        <w:ind w:left="720" w:hanging="360"/>
        <w:rPr>
          <w:sz w:val="24"/>
          <w:szCs w:val="24"/>
          <w:highlight w:val="white"/>
        </w:rPr>
      </w:pPr>
      <w:r w:rsidDel="00000000" w:rsidR="00000000" w:rsidRPr="00000000">
        <w:rPr>
          <w:sz w:val="24"/>
          <w:szCs w:val="24"/>
          <w:highlight w:val="white"/>
          <w:rtl w:val="0"/>
        </w:rPr>
        <w:t xml:space="preserve">When in-person events are back and food is being served, ensure there's a vegan/vegetarian and upon request, kosher option(s).</w:t>
      </w:r>
    </w:p>
    <w:p w:rsidR="00000000" w:rsidDel="00000000" w:rsidP="00000000" w:rsidRDefault="00000000" w:rsidRPr="00000000" w14:paraId="00000024">
      <w:pPr>
        <w:ind w:left="1440" w:firstLine="0"/>
        <w:rPr>
          <w:sz w:val="24"/>
          <w:szCs w:val="24"/>
          <w:highlight w:val="white"/>
        </w:rPr>
      </w:pPr>
      <w:r w:rsidDel="00000000" w:rsidR="00000000" w:rsidRPr="00000000">
        <w:rPr>
          <w:rtl w:val="0"/>
        </w:rPr>
      </w:r>
    </w:p>
    <w:p w:rsidR="00000000" w:rsidDel="00000000" w:rsidP="00000000" w:rsidRDefault="00000000" w:rsidRPr="00000000" w14:paraId="00000025">
      <w:pPr>
        <w:rPr>
          <w:b w:val="1"/>
          <w:sz w:val="24"/>
          <w:szCs w:val="24"/>
          <w:highlight w:val="white"/>
        </w:rPr>
      </w:pPr>
      <w:r w:rsidDel="00000000" w:rsidR="00000000" w:rsidRPr="00000000">
        <w:rPr>
          <w:b w:val="1"/>
          <w:sz w:val="24"/>
          <w:szCs w:val="24"/>
          <w:highlight w:val="white"/>
          <w:rtl w:val="0"/>
        </w:rPr>
        <w:t xml:space="preserve">Post Event</w:t>
      </w:r>
    </w:p>
    <w:p w:rsidR="00000000" w:rsidDel="00000000" w:rsidP="00000000" w:rsidRDefault="00000000" w:rsidRPr="00000000" w14:paraId="00000026">
      <w:pPr>
        <w:numPr>
          <w:ilvl w:val="0"/>
          <w:numId w:val="2"/>
        </w:numPr>
        <w:ind w:left="720" w:hanging="360"/>
        <w:rPr>
          <w:sz w:val="24"/>
          <w:szCs w:val="24"/>
        </w:rPr>
      </w:pPr>
      <w:r w:rsidDel="00000000" w:rsidR="00000000" w:rsidRPr="00000000">
        <w:rPr>
          <w:sz w:val="24"/>
          <w:szCs w:val="24"/>
          <w:highlight w:val="white"/>
          <w:rtl w:val="0"/>
        </w:rPr>
        <w:t xml:space="preserve">Have you thought about ways to thank your speakers and participants? </w:t>
      </w:r>
      <w:r w:rsidDel="00000000" w:rsidR="00000000" w:rsidRPr="00000000">
        <w:rPr>
          <w:rtl w:val="0"/>
        </w:rPr>
      </w:r>
    </w:p>
    <w:p w:rsidR="00000000" w:rsidDel="00000000" w:rsidP="00000000" w:rsidRDefault="00000000" w:rsidRPr="00000000" w14:paraId="00000027">
      <w:pPr>
        <w:numPr>
          <w:ilvl w:val="0"/>
          <w:numId w:val="2"/>
        </w:numPr>
        <w:ind w:left="720" w:hanging="360"/>
        <w:rPr>
          <w:sz w:val="24"/>
          <w:szCs w:val="24"/>
        </w:rPr>
      </w:pPr>
      <w:r w:rsidDel="00000000" w:rsidR="00000000" w:rsidRPr="00000000">
        <w:rPr>
          <w:sz w:val="24"/>
          <w:szCs w:val="24"/>
          <w:rtl w:val="0"/>
        </w:rPr>
        <w:t xml:space="preserve">Are you including resources that participants can receive during or after the event (i.e. powerpoint slides, handouts, website references)?</w:t>
      </w:r>
    </w:p>
    <w:p w:rsidR="00000000" w:rsidDel="00000000" w:rsidP="00000000" w:rsidRDefault="00000000" w:rsidRPr="00000000" w14:paraId="00000028">
      <w:pPr>
        <w:numPr>
          <w:ilvl w:val="1"/>
          <w:numId w:val="2"/>
        </w:numPr>
        <w:ind w:left="1440" w:hanging="360"/>
        <w:rPr>
          <w:sz w:val="24"/>
          <w:szCs w:val="24"/>
        </w:rPr>
      </w:pPr>
      <w:r w:rsidDel="00000000" w:rsidR="00000000" w:rsidRPr="00000000">
        <w:rPr>
          <w:sz w:val="24"/>
          <w:szCs w:val="24"/>
          <w:rtl w:val="0"/>
        </w:rPr>
        <w:t xml:space="preserve">Review </w:t>
      </w:r>
      <w:hyperlink r:id="rId18">
        <w:r w:rsidDel="00000000" w:rsidR="00000000" w:rsidRPr="00000000">
          <w:rPr>
            <w:color w:val="1155cc"/>
            <w:sz w:val="24"/>
            <w:szCs w:val="24"/>
            <w:u w:val="single"/>
            <w:rtl w:val="0"/>
          </w:rPr>
          <w:t xml:space="preserve">Accessibility Best Practices</w:t>
        </w:r>
      </w:hyperlink>
      <w:r w:rsidDel="00000000" w:rsidR="00000000" w:rsidRPr="00000000">
        <w:rPr>
          <w:sz w:val="24"/>
          <w:szCs w:val="24"/>
          <w:rtl w:val="0"/>
        </w:rPr>
        <w:t xml:space="preserve"> before sharing resources. </w:t>
      </w:r>
    </w:p>
    <w:p w:rsidR="00000000" w:rsidDel="00000000" w:rsidP="00000000" w:rsidRDefault="00000000" w:rsidRPr="00000000" w14:paraId="00000029">
      <w:pPr>
        <w:numPr>
          <w:ilvl w:val="0"/>
          <w:numId w:val="2"/>
        </w:numPr>
        <w:ind w:left="720" w:hanging="360"/>
        <w:rPr>
          <w:sz w:val="24"/>
          <w:szCs w:val="24"/>
          <w:u w:val="none"/>
        </w:rPr>
      </w:pPr>
      <w:r w:rsidDel="00000000" w:rsidR="00000000" w:rsidRPr="00000000">
        <w:rPr>
          <w:sz w:val="24"/>
          <w:szCs w:val="24"/>
          <w:rtl w:val="0"/>
        </w:rPr>
        <w:t xml:space="preserve">Have you thought about how to gauge or collect feedback about the event?</w:t>
      </w:r>
      <w:r w:rsidDel="00000000" w:rsidR="00000000" w:rsidRPr="00000000">
        <w:rPr>
          <w:sz w:val="24"/>
          <w:szCs w:val="24"/>
          <w:rtl w:val="0"/>
        </w:rPr>
        <w:t xml:space="preserve"> </w:t>
      </w:r>
    </w:p>
    <w:p w:rsidR="00000000" w:rsidDel="00000000" w:rsidP="00000000" w:rsidRDefault="00000000" w:rsidRPr="00000000" w14:paraId="0000002A">
      <w:pPr>
        <w:numPr>
          <w:ilvl w:val="0"/>
          <w:numId w:val="2"/>
        </w:numPr>
        <w:ind w:left="720" w:hanging="360"/>
        <w:rPr>
          <w:sz w:val="24"/>
          <w:szCs w:val="24"/>
        </w:rPr>
      </w:pPr>
      <w:r w:rsidDel="00000000" w:rsidR="00000000" w:rsidRPr="00000000">
        <w:rPr>
          <w:sz w:val="24"/>
          <w:szCs w:val="24"/>
          <w:rtl w:val="0"/>
        </w:rPr>
        <w:t xml:space="preserve">Have you periodically reviewed the demographics of your past speakers? This helps balance when planning future events to identify if you may be unconsciously skewing towards a particular demographic group. </w:t>
      </w:r>
      <w:r w:rsidDel="00000000" w:rsidR="00000000" w:rsidRPr="00000000">
        <w:rPr>
          <w:rtl w:val="0"/>
        </w:rPr>
      </w:r>
    </w:p>
    <w:p w:rsidR="00000000" w:rsidDel="00000000" w:rsidP="00000000" w:rsidRDefault="00000000" w:rsidRPr="00000000" w14:paraId="0000002B">
      <w:pPr>
        <w:ind w:left="0" w:firstLine="0"/>
        <w:rPr>
          <w:sz w:val="24"/>
          <w:szCs w:val="24"/>
        </w:rPr>
      </w:pPr>
      <w:r w:rsidDel="00000000" w:rsidR="00000000" w:rsidRPr="00000000">
        <w:rPr>
          <w:rtl w:val="0"/>
        </w:rPr>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b w:val="1"/>
        <w:sz w:val="24"/>
        <w:szCs w:val="24"/>
      </w:rPr>
    </w:pPr>
    <w:r w:rsidDel="00000000" w:rsidR="00000000" w:rsidRPr="00000000">
      <w:rPr>
        <w:b w:val="1"/>
        <w:sz w:val="24"/>
        <w:szCs w:val="24"/>
      </w:rPr>
      <w:drawing>
        <wp:inline distB="114300" distT="114300" distL="114300" distR="114300">
          <wp:extent cx="3791607" cy="5286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791607" cy="528638"/>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jc w:val="center"/>
      <w:rPr>
        <w:b w:val="1"/>
        <w:sz w:val="16"/>
        <w:szCs w:val="16"/>
      </w:rPr>
    </w:pPr>
    <w:r w:rsidDel="00000000" w:rsidR="00000000" w:rsidRPr="00000000">
      <w:rPr>
        <w:rtl w:val="0"/>
      </w:rPr>
    </w:r>
  </w:p>
  <w:p w:rsidR="00000000" w:rsidDel="00000000" w:rsidP="00000000" w:rsidRDefault="00000000" w:rsidRPr="00000000" w14:paraId="0000002E">
    <w:pPr>
      <w:jc w:val="center"/>
      <w:rPr>
        <w:b w:val="1"/>
        <w:sz w:val="32"/>
        <w:szCs w:val="32"/>
      </w:rPr>
    </w:pPr>
    <w:r w:rsidDel="00000000" w:rsidR="00000000" w:rsidRPr="00000000">
      <w:rPr>
        <w:b w:val="1"/>
        <w:sz w:val="32"/>
        <w:szCs w:val="32"/>
        <w:rtl w:val="0"/>
      </w:rPr>
      <w:t xml:space="preserve">Inclusion, Diversity, Belonging, and Equity (IDBE) </w:t>
    </w:r>
  </w:p>
  <w:p w:rsidR="00000000" w:rsidDel="00000000" w:rsidP="00000000" w:rsidRDefault="00000000" w:rsidRPr="00000000" w14:paraId="0000002F">
    <w:pPr>
      <w:jc w:val="center"/>
      <w:rPr>
        <w:b w:val="1"/>
        <w:sz w:val="24"/>
        <w:szCs w:val="24"/>
      </w:rPr>
    </w:pPr>
    <w:r w:rsidDel="00000000" w:rsidR="00000000" w:rsidRPr="00000000">
      <w:rPr>
        <w:b w:val="1"/>
        <w:sz w:val="32"/>
        <w:szCs w:val="32"/>
        <w:rtl w:val="0"/>
      </w:rPr>
      <w:t xml:space="preserve">at Wagner Events</w:t>
    </w:r>
    <w:r w:rsidDel="00000000" w:rsidR="00000000" w:rsidRPr="00000000">
      <w:rPr>
        <w:rtl w:val="0"/>
      </w:rPr>
    </w:r>
  </w:p>
  <w:p w:rsidR="00000000" w:rsidDel="00000000" w:rsidP="00000000" w:rsidRDefault="00000000" w:rsidRPr="00000000" w14:paraId="00000030">
    <w:pPr>
      <w:jc w:val="right"/>
      <w:rPr>
        <w:i w:val="1"/>
        <w:sz w:val="20"/>
        <w:szCs w:val="20"/>
      </w:rPr>
    </w:pPr>
    <w:r w:rsidDel="00000000" w:rsidR="00000000" w:rsidRPr="00000000">
      <w:rPr>
        <w:i w:val="1"/>
        <w:sz w:val="20"/>
        <w:szCs w:val="20"/>
        <w:rtl w:val="0"/>
      </w:rPr>
      <w:t xml:space="preserve">Last Updated: November 18, 2020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osescsd@nyu.edu" TargetMode="External"/><Relationship Id="rId10" Type="http://schemas.openxmlformats.org/officeDocument/2006/relationships/hyperlink" Target="https://www.nyu.edu/about/leadership-university-administration/office-of-the-president/office-of-the-provost/university-life/office-of-studentaffairs/student-health-center/moses-center-for-students-with-disabilities.html" TargetMode="External"/><Relationship Id="rId13" Type="http://schemas.openxmlformats.org/officeDocument/2006/relationships/hyperlink" Target="https://www.nyu.edu/life/information-technology/help-and-service-status/accessibility/how-to-guides/online-events.html" TargetMode="External"/><Relationship Id="rId12" Type="http://schemas.openxmlformats.org/officeDocument/2006/relationships/hyperlink" Target="https://www.ai-media.t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u.edu/about/leadership-university-administration/office-of-the-president/office-of-the-provost/university-life/office-of-studentaffairs/student-health-center/moses-center-for-students-with-disabilities.html" TargetMode="External"/><Relationship Id="rId15" Type="http://schemas.openxmlformats.org/officeDocument/2006/relationships/hyperlink" Target="https://www.nyu.edu/life/information-technology/instructional-technology-support/classroom-and-learning-spaces/polling-poll-everywhere.html" TargetMode="External"/><Relationship Id="rId14" Type="http://schemas.openxmlformats.org/officeDocument/2006/relationships/hyperlink" Target="https://www.nyu.edu/life/global-inclusion-and-diversity/learning-and-development/toolkits/pronouns.html" TargetMode="External"/><Relationship Id="rId17" Type="http://schemas.openxmlformats.org/officeDocument/2006/relationships/hyperlink" Target="https://jamboard.google.com/" TargetMode="External"/><Relationship Id="rId16" Type="http://schemas.openxmlformats.org/officeDocument/2006/relationships/hyperlink" Target="https://padlet.co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nyu.edu/life/global-inclusion-and-diversity/learning-and-development/toolkits/faculty-digital-inclusion/inclusive-curriculum-design.html" TargetMode="External"/><Relationship Id="rId18" Type="http://schemas.openxmlformats.org/officeDocument/2006/relationships/hyperlink" Target="https://www.nyu.edu/life/information-technology/help-and-service-status/accessibility/remote-work.html#presentations" TargetMode="External"/><Relationship Id="rId7" Type="http://schemas.openxmlformats.org/officeDocument/2006/relationships/hyperlink" Target="https://wagner.nyu.edu/about/guidelines-speaker-invitations" TargetMode="External"/><Relationship Id="rId8" Type="http://schemas.openxmlformats.org/officeDocument/2006/relationships/hyperlink" Target="https://wagner.nyu.edu/ev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