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38FE" w:rsidRDefault="00562395">
      <w:pPr>
        <w:widowControl w:val="0"/>
        <w:jc w:val="center"/>
      </w:pPr>
      <w:bookmarkStart w:id="0" w:name="_GoBack"/>
      <w:bookmarkEnd w:id="0"/>
      <w:r>
        <w:rPr>
          <w:b/>
          <w:sz w:val="60"/>
        </w:rPr>
        <w:t>Word Cafe Table Notes</w:t>
      </w:r>
      <w:r>
        <w:rPr>
          <w:b/>
          <w:sz w:val="24"/>
        </w:rPr>
        <w:t xml:space="preserve">: </w:t>
      </w:r>
    </w:p>
    <w:p w:rsidR="00D238FE" w:rsidRDefault="00D238FE">
      <w:pPr>
        <w:widowControl w:val="0"/>
        <w:jc w:val="center"/>
      </w:pPr>
    </w:p>
    <w:p w:rsidR="00D238FE" w:rsidRDefault="00562395">
      <w:pPr>
        <w:widowControl w:val="0"/>
      </w:pPr>
      <w:r>
        <w:rPr>
          <w:b/>
          <w:sz w:val="24"/>
        </w:rPr>
        <w:t>Group 1: OTHER GROUPS/EMERGENT INTERESTS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Question Discussed</w:t>
      </w:r>
      <w:r>
        <w:t xml:space="preserve">:  </w:t>
      </w:r>
      <w:r>
        <w:rPr>
          <w:i/>
        </w:rPr>
        <w:t xml:space="preserve">How might we support students interested in engaging around emergent issues and pursuits in an environment of limited resources (human, financial, space, time, </w:t>
      </w:r>
      <w:proofErr w:type="spellStart"/>
      <w:r>
        <w:rPr>
          <w:i/>
        </w:rPr>
        <w:t>etc</w:t>
      </w:r>
      <w:proofErr w:type="spellEnd"/>
      <w:r>
        <w:rPr>
          <w:i/>
        </w:rPr>
        <w:t>)?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Current Barriers</w:t>
      </w:r>
      <w:r>
        <w:t>:</w:t>
      </w:r>
    </w:p>
    <w:p w:rsidR="00D238FE" w:rsidRDefault="00562395">
      <w:pPr>
        <w:widowControl w:val="0"/>
        <w:numPr>
          <w:ilvl w:val="0"/>
          <w:numId w:val="2"/>
        </w:numPr>
        <w:ind w:hanging="359"/>
        <w:contextualSpacing/>
      </w:pPr>
      <w:r>
        <w:t>No process for proving differentiation</w:t>
      </w:r>
    </w:p>
    <w:p w:rsidR="00D238FE" w:rsidRDefault="00562395">
      <w:pPr>
        <w:widowControl w:val="0"/>
        <w:numPr>
          <w:ilvl w:val="0"/>
          <w:numId w:val="2"/>
        </w:numPr>
        <w:ind w:hanging="359"/>
        <w:contextualSpacing/>
      </w:pPr>
      <w:r>
        <w:t xml:space="preserve">Too much space for duplicate groups </w:t>
      </w:r>
    </w:p>
    <w:p w:rsidR="00D238FE" w:rsidRDefault="00562395">
      <w:pPr>
        <w:widowControl w:val="0"/>
        <w:numPr>
          <w:ilvl w:val="0"/>
          <w:numId w:val="2"/>
        </w:numPr>
        <w:ind w:hanging="359"/>
        <w:contextualSpacing/>
      </w:pPr>
      <w:r>
        <w:t>No “exit strategy” for groups that don’t thrive to cease existing</w:t>
      </w:r>
    </w:p>
    <w:p w:rsidR="00D238FE" w:rsidRDefault="00562395">
      <w:pPr>
        <w:widowControl w:val="0"/>
        <w:numPr>
          <w:ilvl w:val="0"/>
          <w:numId w:val="2"/>
        </w:numPr>
        <w:ind w:hanging="359"/>
        <w:contextualSpacing/>
      </w:pPr>
      <w:r>
        <w:t>No minimum standard to receive funding</w:t>
      </w:r>
    </w:p>
    <w:p w:rsidR="00D238FE" w:rsidRDefault="00562395">
      <w:pPr>
        <w:widowControl w:val="0"/>
        <w:numPr>
          <w:ilvl w:val="0"/>
          <w:numId w:val="2"/>
        </w:numPr>
        <w:ind w:hanging="359"/>
        <w:contextualSpacing/>
      </w:pPr>
      <w:r>
        <w:t>No standardized annual review process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Move Toward</w:t>
      </w:r>
      <w:r>
        <w:t>:</w:t>
      </w:r>
    </w:p>
    <w:p w:rsidR="00D238FE" w:rsidRDefault="00562395">
      <w:pPr>
        <w:widowControl w:val="0"/>
        <w:numPr>
          <w:ilvl w:val="0"/>
          <w:numId w:val="1"/>
        </w:numPr>
        <w:ind w:hanging="359"/>
        <w:contextualSpacing/>
      </w:pPr>
      <w:r>
        <w:t>An ap</w:t>
      </w:r>
      <w:r>
        <w:t>plication process for new groups that requires “proof of differentiation”</w:t>
      </w:r>
    </w:p>
    <w:p w:rsidR="00D238FE" w:rsidRDefault="00562395">
      <w:pPr>
        <w:widowControl w:val="0"/>
        <w:numPr>
          <w:ilvl w:val="1"/>
          <w:numId w:val="1"/>
        </w:numPr>
        <w:ind w:hanging="359"/>
        <w:contextualSpacing/>
      </w:pPr>
      <w:r>
        <w:t>WSA can serve as arbiter to approve new group on probationary status</w:t>
      </w:r>
    </w:p>
    <w:p w:rsidR="00D238FE" w:rsidRDefault="00562395">
      <w:pPr>
        <w:widowControl w:val="0"/>
        <w:numPr>
          <w:ilvl w:val="1"/>
          <w:numId w:val="1"/>
        </w:numPr>
        <w:ind w:hanging="359"/>
        <w:contextualSpacing/>
      </w:pPr>
      <w:r>
        <w:t>If group is not unique, WSA can suggest collaboration with other existing groups/committees</w:t>
      </w:r>
    </w:p>
    <w:p w:rsidR="00D238FE" w:rsidRDefault="00562395">
      <w:pPr>
        <w:widowControl w:val="0"/>
        <w:numPr>
          <w:ilvl w:val="0"/>
          <w:numId w:val="1"/>
        </w:numPr>
        <w:ind w:hanging="359"/>
        <w:contextualSpacing/>
      </w:pPr>
      <w:r>
        <w:t>An Annual Review proc</w:t>
      </w:r>
      <w:r>
        <w:t>ess for each group</w:t>
      </w:r>
    </w:p>
    <w:p w:rsidR="00D238FE" w:rsidRDefault="00562395">
      <w:pPr>
        <w:widowControl w:val="0"/>
        <w:numPr>
          <w:ilvl w:val="1"/>
          <w:numId w:val="1"/>
        </w:numPr>
        <w:ind w:hanging="359"/>
        <w:contextualSpacing/>
      </w:pPr>
      <w:r>
        <w:t>Groups must prove minimum viability to receive funding the following year</w:t>
      </w:r>
    </w:p>
    <w:p w:rsidR="00D238FE" w:rsidRDefault="00562395">
      <w:pPr>
        <w:widowControl w:val="0"/>
        <w:numPr>
          <w:ilvl w:val="1"/>
          <w:numId w:val="1"/>
        </w:numPr>
        <w:ind w:hanging="359"/>
        <w:contextualSpacing/>
      </w:pPr>
      <w:r>
        <w:t>System could emulate life of a grant cycle</w:t>
      </w:r>
    </w:p>
    <w:p w:rsidR="00D238FE" w:rsidRDefault="00562395">
      <w:pPr>
        <w:widowControl w:val="0"/>
        <w:numPr>
          <w:ilvl w:val="0"/>
          <w:numId w:val="1"/>
        </w:numPr>
        <w:ind w:hanging="359"/>
        <w:contextualSpacing/>
      </w:pPr>
      <w:r>
        <w:t>A graduated system for new group formation</w:t>
      </w:r>
    </w:p>
    <w:p w:rsidR="00D238FE" w:rsidRDefault="00562395">
      <w:pPr>
        <w:widowControl w:val="0"/>
        <w:numPr>
          <w:ilvl w:val="1"/>
          <w:numId w:val="1"/>
        </w:numPr>
        <w:ind w:hanging="359"/>
        <w:contextualSpacing/>
      </w:pPr>
      <w:r>
        <w:t>New group applies for committee standing under auspices of existing (“partner</w:t>
      </w:r>
      <w:r>
        <w:t>”) group</w:t>
      </w:r>
    </w:p>
    <w:p w:rsidR="00D238FE" w:rsidRDefault="00562395">
      <w:pPr>
        <w:widowControl w:val="0"/>
        <w:numPr>
          <w:ilvl w:val="2"/>
          <w:numId w:val="1"/>
        </w:numPr>
        <w:ind w:hanging="359"/>
        <w:contextualSpacing/>
      </w:pPr>
      <w:r>
        <w:t>Does not have to be perfectly aligned, just an appropriate partner</w:t>
      </w:r>
    </w:p>
    <w:p w:rsidR="00D238FE" w:rsidRDefault="00562395">
      <w:pPr>
        <w:widowControl w:val="0"/>
        <w:numPr>
          <w:ilvl w:val="2"/>
          <w:numId w:val="1"/>
        </w:numPr>
        <w:ind w:hanging="359"/>
        <w:contextualSpacing/>
      </w:pPr>
      <w:r>
        <w:t>Committee gets one vote on board of its partner student group</w:t>
      </w:r>
    </w:p>
    <w:p w:rsidR="00D238FE" w:rsidRDefault="00562395">
      <w:pPr>
        <w:widowControl w:val="0"/>
        <w:numPr>
          <w:ilvl w:val="2"/>
          <w:numId w:val="1"/>
        </w:numPr>
        <w:ind w:hanging="359"/>
        <w:contextualSpacing/>
      </w:pPr>
      <w:r>
        <w:t>Committee has allotted independent operating budget to pilot events, activities, etc.</w:t>
      </w:r>
    </w:p>
    <w:p w:rsidR="00D238FE" w:rsidRDefault="00562395">
      <w:pPr>
        <w:widowControl w:val="0"/>
        <w:numPr>
          <w:ilvl w:val="2"/>
          <w:numId w:val="1"/>
        </w:numPr>
        <w:ind w:hanging="359"/>
        <w:contextualSpacing/>
      </w:pPr>
      <w:r>
        <w:t>End of pilot year, partner group votes on committee status</w:t>
      </w:r>
    </w:p>
    <w:p w:rsidR="00D238FE" w:rsidRDefault="00562395">
      <w:pPr>
        <w:widowControl w:val="0"/>
        <w:numPr>
          <w:ilvl w:val="3"/>
          <w:numId w:val="1"/>
        </w:numPr>
        <w:ind w:hanging="359"/>
        <w:contextualSpacing/>
      </w:pPr>
      <w:r>
        <w:t xml:space="preserve">continue as is </w:t>
      </w:r>
    </w:p>
    <w:p w:rsidR="00D238FE" w:rsidRDefault="00562395">
      <w:pPr>
        <w:widowControl w:val="0"/>
        <w:numPr>
          <w:ilvl w:val="3"/>
          <w:numId w:val="1"/>
        </w:numPr>
        <w:ind w:hanging="359"/>
        <w:contextualSpacing/>
      </w:pPr>
      <w:r>
        <w:t xml:space="preserve">form independent group </w:t>
      </w:r>
    </w:p>
    <w:p w:rsidR="00D238FE" w:rsidRDefault="00562395">
      <w:pPr>
        <w:widowControl w:val="0"/>
        <w:numPr>
          <w:ilvl w:val="3"/>
          <w:numId w:val="1"/>
        </w:numPr>
        <w:ind w:hanging="359"/>
        <w:contextualSpacing/>
      </w:pPr>
      <w:r>
        <w:t>disband committee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Best Practice Lab:</w:t>
      </w:r>
    </w:p>
    <w:p w:rsidR="00D238FE" w:rsidRDefault="00562395">
      <w:pPr>
        <w:widowControl w:val="0"/>
        <w:numPr>
          <w:ilvl w:val="0"/>
          <w:numId w:val="4"/>
        </w:numPr>
        <w:ind w:hanging="359"/>
        <w:contextualSpacing/>
      </w:pPr>
      <w:r>
        <w:t>WHN</w:t>
      </w:r>
    </w:p>
    <w:p w:rsidR="00D238FE" w:rsidRDefault="00562395">
      <w:pPr>
        <w:widowControl w:val="0"/>
        <w:numPr>
          <w:ilvl w:val="1"/>
          <w:numId w:val="4"/>
        </w:numPr>
        <w:ind w:hanging="359"/>
        <w:contextualSpacing/>
      </w:pPr>
      <w:r>
        <w:t>WCG--started under WHN; need existed beyond WHN scope, WCG branched out and became its own group.</w:t>
      </w:r>
    </w:p>
    <w:p w:rsidR="00D238FE" w:rsidRDefault="00562395">
      <w:pPr>
        <w:widowControl w:val="0"/>
        <w:numPr>
          <w:ilvl w:val="1"/>
          <w:numId w:val="4"/>
        </w:numPr>
        <w:ind w:hanging="359"/>
        <w:contextualSpacing/>
      </w:pPr>
      <w:r>
        <w:t>???--started unde</w:t>
      </w:r>
      <w:r>
        <w:t>r WHN; group was too niche, ceased to exist.</w:t>
      </w:r>
    </w:p>
    <w:p w:rsidR="00D238FE" w:rsidRDefault="00562395">
      <w:pPr>
        <w:widowControl w:val="0"/>
        <w:numPr>
          <w:ilvl w:val="0"/>
          <w:numId w:val="4"/>
        </w:numPr>
        <w:ind w:hanging="359"/>
        <w:contextualSpacing/>
      </w:pPr>
      <w:r>
        <w:t>UPSA</w:t>
      </w:r>
    </w:p>
    <w:p w:rsidR="00D238FE" w:rsidRDefault="00562395">
      <w:pPr>
        <w:widowControl w:val="0"/>
        <w:numPr>
          <w:ilvl w:val="1"/>
          <w:numId w:val="4"/>
        </w:numPr>
        <w:ind w:hanging="359"/>
        <w:contextualSpacing/>
      </w:pPr>
      <w:r>
        <w:t>Application process for emergent interests:</w:t>
      </w:r>
    </w:p>
    <w:p w:rsidR="00D238FE" w:rsidRDefault="00562395">
      <w:pPr>
        <w:widowControl w:val="0"/>
        <w:numPr>
          <w:ilvl w:val="2"/>
          <w:numId w:val="4"/>
        </w:numPr>
        <w:ind w:hanging="359"/>
        <w:contextualSpacing/>
      </w:pPr>
      <w:r>
        <w:t>Become sub-committee</w:t>
      </w:r>
    </w:p>
    <w:p w:rsidR="00D238FE" w:rsidRDefault="00562395">
      <w:pPr>
        <w:widowControl w:val="0"/>
        <w:numPr>
          <w:ilvl w:val="2"/>
          <w:numId w:val="4"/>
        </w:numPr>
        <w:ind w:hanging="359"/>
        <w:contextualSpacing/>
      </w:pPr>
      <w:r>
        <w:lastRenderedPageBreak/>
        <w:t>Receive board vote &amp; independent budget</w:t>
      </w:r>
    </w:p>
    <w:p w:rsidR="00D238FE" w:rsidRDefault="00562395">
      <w:pPr>
        <w:widowControl w:val="0"/>
        <w:numPr>
          <w:ilvl w:val="2"/>
          <w:numId w:val="4"/>
        </w:numPr>
        <w:ind w:hanging="359"/>
        <w:contextualSpacing/>
      </w:pPr>
      <w:r>
        <w:t>Review at end of year--group continues or doesn’t</w:t>
      </w:r>
    </w:p>
    <w:p w:rsidR="00D238FE" w:rsidRDefault="00562395">
      <w:pPr>
        <w:widowControl w:val="0"/>
        <w:numPr>
          <w:ilvl w:val="1"/>
          <w:numId w:val="4"/>
        </w:numPr>
        <w:ind w:hanging="359"/>
        <w:contextualSpacing/>
      </w:pPr>
      <w:r>
        <w:t xml:space="preserve">Room for new groups to emerge </w:t>
      </w:r>
      <w:r>
        <w:rPr>
          <w:i/>
        </w:rPr>
        <w:t>and</w:t>
      </w:r>
      <w:r>
        <w:t xml:space="preserve"> for shifting inte</w:t>
      </w:r>
      <w:r>
        <w:t>rests</w:t>
      </w: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  <w:sz w:val="24"/>
        </w:rPr>
        <w:t>Group 2: IDENTITY + DIVERSITY GROUPS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Question</w:t>
      </w:r>
      <w:r>
        <w:t xml:space="preserve">: How might we create a student group model that takes into account the validity and importance of ID-based student groups while acknowledging the leadership and operational challenges they face? 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>Four buckets of responses</w:t>
      </w:r>
      <w:r>
        <w:t xml:space="preserve">: </w:t>
      </w:r>
    </w:p>
    <w:p w:rsidR="00D238FE" w:rsidRDefault="00D238FE">
      <w:pPr>
        <w:widowControl w:val="0"/>
      </w:pPr>
    </w:p>
    <w:p w:rsidR="00D238FE" w:rsidRDefault="00562395">
      <w:pPr>
        <w:widowControl w:val="0"/>
        <w:numPr>
          <w:ilvl w:val="0"/>
          <w:numId w:val="3"/>
        </w:numPr>
        <w:ind w:hanging="359"/>
        <w:contextualSpacing/>
      </w:pPr>
      <w:r>
        <w:rPr>
          <w:u w:val="single"/>
        </w:rPr>
        <w:t>Event co-sponsorships vs Partnerships</w:t>
      </w:r>
      <w:r>
        <w:t>: Currently, most of the student groups work together by co-sponsoring events. If groups collaborated in more strategic partnerships (perhaps on a semester basis, particularly matching ID ba</w:t>
      </w:r>
      <w:r>
        <w:t xml:space="preserve">sed groups with larger student groups), they could increase visibility for both groups, cross promote, share resources, etc. </w:t>
      </w:r>
    </w:p>
    <w:p w:rsidR="00D238FE" w:rsidRDefault="00562395">
      <w:pPr>
        <w:widowControl w:val="0"/>
        <w:numPr>
          <w:ilvl w:val="0"/>
          <w:numId w:val="3"/>
        </w:numPr>
        <w:ind w:hanging="359"/>
        <w:contextualSpacing/>
      </w:pPr>
      <w:r>
        <w:rPr>
          <w:u w:val="single"/>
        </w:rPr>
        <w:t>WSA</w:t>
      </w:r>
      <w:r>
        <w:t>: reduce the official WSA requirements for the ID-based groups around numbers of board members and numbers of events. WSA could also send out a separate email blast for any board vacancies of the ID based groups to reach the wider Wagner audience. This bla</w:t>
      </w:r>
      <w:r>
        <w:t xml:space="preserve">st could be done in the spring and announced at first year orientation. </w:t>
      </w:r>
    </w:p>
    <w:p w:rsidR="00D238FE" w:rsidRDefault="00562395">
      <w:pPr>
        <w:widowControl w:val="0"/>
        <w:numPr>
          <w:ilvl w:val="0"/>
          <w:numId w:val="3"/>
        </w:numPr>
        <w:ind w:hanging="359"/>
        <w:contextualSpacing/>
      </w:pPr>
      <w:r>
        <w:rPr>
          <w:u w:val="single"/>
        </w:rPr>
        <w:t>Current Exec Board structure</w:t>
      </w:r>
      <w:r>
        <w:t xml:space="preserve">: board chairs vs coordinating committees for positions other than president, treasurer, and VP. </w:t>
      </w:r>
    </w:p>
    <w:p w:rsidR="00D238FE" w:rsidRDefault="00562395">
      <w:pPr>
        <w:widowControl w:val="0"/>
        <w:numPr>
          <w:ilvl w:val="0"/>
          <w:numId w:val="3"/>
        </w:numPr>
        <w:ind w:hanging="359"/>
        <w:contextualSpacing/>
      </w:pPr>
      <w:r>
        <w:rPr>
          <w:u w:val="single"/>
        </w:rPr>
        <w:t>Proposed Model</w:t>
      </w:r>
      <w:r>
        <w:t>: people feel a loss of identity by lumping</w:t>
      </w:r>
      <w:r>
        <w:t xml:space="preserve"> together all of the ID-based groups in one coalition. They want to keep the names of the current ID-based groups to maintain alumni engagement and for incoming students/recruitment. Like the common governance structure, that leaves more flexibility for st</w:t>
      </w:r>
      <w:r>
        <w:t xml:space="preserve">udents to get involved on the committee level. What is the standard for what is considered an ID-based student group year by year- if only one person wants to represent a group, is that acceptable? Should there be a minimum number of people? </w:t>
      </w: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  <w:sz w:val="24"/>
        </w:rPr>
        <w:t>Group 3</w:t>
      </w:r>
      <w:r>
        <w:rPr>
          <w:b/>
          <w:sz w:val="24"/>
        </w:rPr>
        <w:t>: BUDGET ALLOCATION</w:t>
      </w:r>
    </w:p>
    <w:p w:rsidR="00D238FE" w:rsidRDefault="00D238FE">
      <w:pPr>
        <w:widowControl w:val="0"/>
      </w:pPr>
    </w:p>
    <w:p w:rsidR="00D238FE" w:rsidRDefault="00562395">
      <w:pPr>
        <w:widowControl w:val="0"/>
      </w:pPr>
      <w:r>
        <w:rPr>
          <w:b/>
        </w:rPr>
        <w:t xml:space="preserve">Question: </w:t>
      </w:r>
      <w:r>
        <w:t>As we look to enhance the functioning of student groups, how might we re-imagine how student group funding is allocated?</w:t>
      </w:r>
    </w:p>
    <w:p w:rsidR="00D238FE" w:rsidRDefault="00D238FE">
      <w:pPr>
        <w:widowControl w:val="0"/>
        <w:spacing w:after="200"/>
      </w:pPr>
    </w:p>
    <w:p w:rsidR="00D238FE" w:rsidRDefault="00562395">
      <w:pPr>
        <w:widowControl w:val="0"/>
        <w:spacing w:after="200"/>
      </w:pPr>
      <w:r>
        <w:rPr>
          <w:rFonts w:ascii="Calibri" w:eastAsia="Calibri" w:hAnsi="Calibri" w:cs="Calibri"/>
          <w:i/>
        </w:rPr>
        <w:lastRenderedPageBreak/>
        <w:t>Issues identified: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Problems with continuity/transition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Small budget groups are trapped because of use o</w:t>
      </w:r>
      <w:r>
        <w:rPr>
          <w:rFonts w:ascii="Calibri" w:eastAsia="Calibri" w:hAnsi="Calibri" w:cs="Calibri"/>
        </w:rPr>
        <w:t>f historical data for making decisions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No potential for student groups to develop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Maybe some groups should fold, but that option is not easily built into system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Duplication of efforts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Right now larger groups have no incentive to partner from a money perspective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Poor transition system means budget is “fake” at first – new leaders don’t really know what they need</w:t>
      </w:r>
    </w:p>
    <w:p w:rsidR="00D238FE" w:rsidRDefault="00562395">
      <w:pPr>
        <w:widowControl w:val="0"/>
        <w:numPr>
          <w:ilvl w:val="0"/>
          <w:numId w:val="5"/>
        </w:numPr>
        <w:spacing w:after="200"/>
        <w:ind w:hanging="359"/>
        <w:contextualSpacing/>
      </w:pPr>
      <w:r>
        <w:rPr>
          <w:rFonts w:ascii="Calibri" w:eastAsia="Calibri" w:hAnsi="Calibri" w:cs="Calibri"/>
        </w:rPr>
        <w:t>Co-sponsoring doesn’t work because of way groups get reimbursed</w:t>
      </w:r>
    </w:p>
    <w:p w:rsidR="00D238FE" w:rsidRDefault="00562395">
      <w:pPr>
        <w:widowControl w:val="0"/>
        <w:spacing w:after="200"/>
      </w:pPr>
      <w:r>
        <w:rPr>
          <w:rFonts w:ascii="Calibri" w:eastAsia="Calibri" w:hAnsi="Calibri" w:cs="Calibri"/>
          <w:i/>
        </w:rPr>
        <w:t>Potential ne</w:t>
      </w:r>
      <w:r>
        <w:rPr>
          <w:rFonts w:ascii="Calibri" w:eastAsia="Calibri" w:hAnsi="Calibri" w:cs="Calibri"/>
          <w:i/>
        </w:rPr>
        <w:t>w methods: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Fund budgets for specific events instead of groups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>ID the biggest events of the year and separate them out for collaboration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Shared budgets/collective pots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Groups have individual budgets, but there is a larger pot for shared events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 xml:space="preserve">Maybe larger </w:t>
      </w:r>
      <w:r>
        <w:rPr>
          <w:rFonts w:ascii="Calibri" w:eastAsia="Calibri" w:hAnsi="Calibri" w:cs="Calibri"/>
        </w:rPr>
        <w:t>pots in specific areas (policy, management) with access for smaller groups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Better decision guidelines/restrictions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Attendance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Price/person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Total $ of people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Furthering the mission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Participatory budgeting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 xml:space="preserve">Outside funds: 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Fundraising/self-sufficiency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Get mor</w:t>
      </w:r>
      <w:r>
        <w:rPr>
          <w:rFonts w:ascii="Calibri" w:eastAsia="Calibri" w:hAnsi="Calibri" w:cs="Calibri"/>
        </w:rPr>
        <w:t>e money from university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Rely more on departments at Wagner for money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Take into account access to outside funds/Wagner departments when making decisions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If possible to get outside funds, do a matching system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 xml:space="preserve">Two rounds of budgeting, one from old board, one </w:t>
      </w:r>
      <w:r>
        <w:rPr>
          <w:rFonts w:ascii="Calibri" w:eastAsia="Calibri" w:hAnsi="Calibri" w:cs="Calibri"/>
        </w:rPr>
        <w:t>in later fall with complete board for spring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Budget by semester instead of by year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When cuts need to be made, make % across the board  cuts</w:t>
      </w:r>
    </w:p>
    <w:p w:rsidR="00D238FE" w:rsidRDefault="00562395">
      <w:pPr>
        <w:widowControl w:val="0"/>
        <w:numPr>
          <w:ilvl w:val="0"/>
          <w:numId w:val="5"/>
        </w:numPr>
        <w:spacing w:after="200"/>
        <w:ind w:hanging="359"/>
        <w:contextualSpacing/>
      </w:pPr>
      <w:r>
        <w:rPr>
          <w:rFonts w:ascii="Calibri" w:eastAsia="Calibri" w:hAnsi="Calibri" w:cs="Calibri"/>
        </w:rPr>
        <w:t>Look at how well groups actually used their budgets when making decisions</w:t>
      </w:r>
    </w:p>
    <w:p w:rsidR="00D238FE" w:rsidRDefault="00D238FE">
      <w:pPr>
        <w:widowControl w:val="0"/>
        <w:spacing w:after="200"/>
      </w:pPr>
    </w:p>
    <w:p w:rsidR="00D238FE" w:rsidRDefault="00562395">
      <w:pPr>
        <w:widowControl w:val="0"/>
        <w:spacing w:after="200"/>
      </w:pPr>
      <w:r>
        <w:rPr>
          <w:rFonts w:ascii="Calibri" w:eastAsia="Calibri" w:hAnsi="Calibri" w:cs="Calibri"/>
          <w:i/>
        </w:rPr>
        <w:t>Other things that came out of discussion: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Budgets (and all WSA votes) are voted on by student group reps at Caucuses, but the WSA is supposed to represent the students, not the groups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Student body as a whole should approve budgets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Think more about the types of events we want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Maybe 1 bigger and mo</w:t>
      </w:r>
      <w:r>
        <w:rPr>
          <w:rFonts w:ascii="Calibri" w:eastAsia="Calibri" w:hAnsi="Calibri" w:cs="Calibri"/>
        </w:rPr>
        <w:t>re smaller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lastRenderedPageBreak/>
        <w:t>Different categories of events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More knowledge sharing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Alleviate the event requirement, it allows for more flexibility</w:t>
      </w:r>
    </w:p>
    <w:p w:rsidR="00D238FE" w:rsidRDefault="00562395">
      <w:pPr>
        <w:widowControl w:val="0"/>
        <w:numPr>
          <w:ilvl w:val="0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 xml:space="preserve">Need to focus on what we actually need to spend money on, events can happen without budgets 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Recalibrate what an events needs to be</w:t>
      </w:r>
    </w:p>
    <w:p w:rsidR="00D238FE" w:rsidRDefault="00562395">
      <w:pPr>
        <w:widowControl w:val="0"/>
        <w:numPr>
          <w:ilvl w:val="1"/>
          <w:numId w:val="5"/>
        </w:numPr>
        <w:ind w:hanging="359"/>
        <w:contextualSpacing/>
      </w:pPr>
      <w:r>
        <w:rPr>
          <w:rFonts w:ascii="Calibri" w:eastAsia="Calibri" w:hAnsi="Calibri" w:cs="Calibri"/>
        </w:rPr>
        <w:t>Find a way to grow without needing money</w:t>
      </w:r>
    </w:p>
    <w:p w:rsidR="00D238FE" w:rsidRDefault="00562395">
      <w:pPr>
        <w:widowControl w:val="0"/>
        <w:numPr>
          <w:ilvl w:val="0"/>
          <w:numId w:val="5"/>
        </w:numPr>
        <w:spacing w:after="200"/>
        <w:ind w:hanging="359"/>
        <w:contextualSpacing/>
      </w:pPr>
      <w:r>
        <w:rPr>
          <w:rFonts w:ascii="Calibri" w:eastAsia="Calibri" w:hAnsi="Calibri" w:cs="Calibri"/>
        </w:rPr>
        <w:t>Stern can charge Wagner students for attending events, but we can’t charge them. Why not?</w:t>
      </w:r>
    </w:p>
    <w:p w:rsidR="00D238FE" w:rsidRDefault="00D238FE">
      <w:pPr>
        <w:widowControl w:val="0"/>
      </w:pPr>
    </w:p>
    <w:sectPr w:rsidR="00D238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9F"/>
    <w:multiLevelType w:val="multilevel"/>
    <w:tmpl w:val="BD5C2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C4107D"/>
    <w:multiLevelType w:val="multilevel"/>
    <w:tmpl w:val="922AF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265866"/>
    <w:multiLevelType w:val="multilevel"/>
    <w:tmpl w:val="1E367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7978FA"/>
    <w:multiLevelType w:val="multilevel"/>
    <w:tmpl w:val="D472A0CA"/>
    <w:lvl w:ilvl="0">
      <w:start w:val="1"/>
      <w:numFmt w:val="bullet"/>
      <w:lvlText w:val="●"/>
      <w:lvlJc w:val="left"/>
      <w:pPr>
        <w:ind w:left="720" w:firstLine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A974BE1"/>
    <w:multiLevelType w:val="multilevel"/>
    <w:tmpl w:val="98A45C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238FE"/>
    <w:rsid w:val="00562395"/>
    <w:rsid w:val="00D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WLA #2 Notes (for WSA webpage).docx</vt:lpstr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WLA #2 Notes (for WSA webpage).docx</dc:title>
  <dc:creator>Jamie O'Regan</dc:creator>
  <cp:lastModifiedBy>Jamie O'Regan</cp:lastModifiedBy>
  <cp:revision>2</cp:revision>
  <dcterms:created xsi:type="dcterms:W3CDTF">2014-01-29T22:17:00Z</dcterms:created>
  <dcterms:modified xsi:type="dcterms:W3CDTF">2014-01-29T22:17:00Z</dcterms:modified>
</cp:coreProperties>
</file>