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109C6B" w14:textId="24B82B15" w:rsidR="00F71FEF" w:rsidRDefault="00F71FEF" w:rsidP="00BA767A">
      <w:pPr>
        <w:spacing w:line="480" w:lineRule="auto"/>
        <w:jc w:val="center"/>
      </w:pPr>
      <w:bookmarkStart w:id="0" w:name="_GoBack"/>
      <w:bookmarkEnd w:id="0"/>
      <w:r>
        <w:rPr>
          <w:noProof/>
        </w:rPr>
        <w:drawing>
          <wp:anchor distT="0" distB="0" distL="114300" distR="114300" simplePos="0" relativeHeight="251658240" behindDoc="1" locked="0" layoutInCell="1" allowOverlap="1" wp14:anchorId="4F266DEF" wp14:editId="088B244E">
            <wp:simplePos x="0" y="0"/>
            <wp:positionH relativeFrom="column">
              <wp:posOffset>-457200</wp:posOffset>
            </wp:positionH>
            <wp:positionV relativeFrom="paragraph">
              <wp:posOffset>-457200</wp:posOffset>
            </wp:positionV>
            <wp:extent cx="3771900" cy="31530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YUBRADEMAS.jpg"/>
                    <pic:cNvPicPr/>
                  </pic:nvPicPr>
                  <pic:blipFill>
                    <a:blip r:embed="rId8">
                      <a:extLst>
                        <a:ext uri="{28A0092B-C50C-407E-A947-70E740481C1C}">
                          <a14:useLocalDpi xmlns:a14="http://schemas.microsoft.com/office/drawing/2010/main" val="0"/>
                        </a:ext>
                      </a:extLst>
                    </a:blip>
                    <a:stretch>
                      <a:fillRect/>
                    </a:stretch>
                  </pic:blipFill>
                  <pic:spPr>
                    <a:xfrm>
                      <a:off x="0" y="0"/>
                      <a:ext cx="3771900" cy="315301"/>
                    </a:xfrm>
                    <a:prstGeom prst="rect">
                      <a:avLst/>
                    </a:prstGeom>
                  </pic:spPr>
                </pic:pic>
              </a:graphicData>
            </a:graphic>
            <wp14:sizeRelH relativeFrom="page">
              <wp14:pctWidth>0</wp14:pctWidth>
            </wp14:sizeRelH>
            <wp14:sizeRelV relativeFrom="page">
              <wp14:pctHeight>0</wp14:pctHeight>
            </wp14:sizeRelV>
          </wp:anchor>
        </w:drawing>
      </w:r>
    </w:p>
    <w:p w14:paraId="4B2BF50E" w14:textId="1CF1D007" w:rsidR="00DB749F" w:rsidRPr="00F71FEF" w:rsidRDefault="00EB44CF" w:rsidP="00BA767A">
      <w:pPr>
        <w:spacing w:line="480" w:lineRule="auto"/>
        <w:jc w:val="center"/>
        <w:rPr>
          <w:b/>
        </w:rPr>
      </w:pPr>
      <w:r w:rsidRPr="00F71FEF">
        <w:rPr>
          <w:b/>
        </w:rPr>
        <w:t>PEOPLE ON PEOPLE ON PEOPLE</w:t>
      </w:r>
      <w:r w:rsidR="00DB749F" w:rsidRPr="00F71FEF">
        <w:rPr>
          <w:b/>
        </w:rPr>
        <w:t>:</w:t>
      </w:r>
    </w:p>
    <w:p w14:paraId="24D4FED9" w14:textId="77777777" w:rsidR="00BA767A" w:rsidRPr="00F71FEF" w:rsidRDefault="00BA767A" w:rsidP="00BA767A">
      <w:pPr>
        <w:spacing w:line="480" w:lineRule="auto"/>
        <w:jc w:val="center"/>
        <w:rPr>
          <w:b/>
        </w:rPr>
      </w:pPr>
      <w:r w:rsidRPr="00F71FEF">
        <w:rPr>
          <w:b/>
        </w:rPr>
        <w:t>FACT SHEET ON THE CONTINUED THICKENING OF GOVERNMENT</w:t>
      </w:r>
    </w:p>
    <w:p w14:paraId="680EEB50" w14:textId="77777777" w:rsidR="00BA767A" w:rsidRDefault="00BA767A" w:rsidP="00BA767A">
      <w:pPr>
        <w:spacing w:line="480" w:lineRule="auto"/>
        <w:jc w:val="center"/>
      </w:pPr>
    </w:p>
    <w:p w14:paraId="1A419AB5" w14:textId="77777777" w:rsidR="00BA767A" w:rsidRDefault="00BA767A" w:rsidP="00BA767A">
      <w:pPr>
        <w:jc w:val="center"/>
      </w:pPr>
      <w:r>
        <w:t>Paul C. Light</w:t>
      </w:r>
    </w:p>
    <w:p w14:paraId="61D8DD5B" w14:textId="77777777" w:rsidR="00BA767A" w:rsidRDefault="00BA767A" w:rsidP="00BA767A">
      <w:pPr>
        <w:jc w:val="center"/>
      </w:pPr>
      <w:r>
        <w:t>New York University</w:t>
      </w:r>
    </w:p>
    <w:p w14:paraId="57B0D076" w14:textId="77777777" w:rsidR="00BA767A" w:rsidRDefault="00BA767A" w:rsidP="00BA767A">
      <w:pPr>
        <w:jc w:val="center"/>
      </w:pPr>
      <w:r>
        <w:t>The John Brademas Center</w:t>
      </w:r>
    </w:p>
    <w:p w14:paraId="353A27FE" w14:textId="77777777" w:rsidR="00BA767A" w:rsidRDefault="00BA767A" w:rsidP="00BA767A">
      <w:pPr>
        <w:spacing w:line="480" w:lineRule="auto"/>
        <w:jc w:val="center"/>
      </w:pPr>
    </w:p>
    <w:p w14:paraId="26E92C85" w14:textId="18E9C425" w:rsidR="00BA767A" w:rsidRDefault="00BA767A" w:rsidP="00F71FEF">
      <w:pPr>
        <w:spacing w:line="480" w:lineRule="auto"/>
        <w:jc w:val="center"/>
      </w:pPr>
      <w:r>
        <w:t>March 17, 2017</w:t>
      </w:r>
    </w:p>
    <w:p w14:paraId="202CC5BE" w14:textId="77777777" w:rsidR="005D471E" w:rsidRDefault="005D471E" w:rsidP="008A6CAF">
      <w:pPr>
        <w:suppressAutoHyphens/>
        <w:spacing w:line="480" w:lineRule="auto"/>
        <w:ind w:firstLine="450"/>
      </w:pPr>
    </w:p>
    <w:p w14:paraId="0FBF07EC" w14:textId="6535177E" w:rsidR="00C00130" w:rsidRDefault="00BA767A" w:rsidP="008A6CAF">
      <w:pPr>
        <w:suppressAutoHyphens/>
        <w:spacing w:line="480" w:lineRule="auto"/>
        <w:ind w:firstLine="450"/>
        <w:rPr>
          <w:color w:val="000000" w:themeColor="text1"/>
        </w:rPr>
      </w:pPr>
      <w:r>
        <w:t>The past half century has witnessed a slow, but steady thickening of the federal bureaucracy as Congress and presidents have added layer upon layer of political and career management to the hierarchy.  The past six years have been no different.  Despite President Obama’s promise to create a 21</w:t>
      </w:r>
      <w:r w:rsidRPr="004B1D89">
        <w:rPr>
          <w:vertAlign w:val="superscript"/>
        </w:rPr>
        <w:t>st</w:t>
      </w:r>
      <w:r>
        <w:t xml:space="preserve"> century government that is open and competent, he </w:t>
      </w:r>
      <w:r w:rsidR="00B07AC4">
        <w:t>followed the precedents set by previous presidents by bequeath</w:t>
      </w:r>
      <w:r w:rsidR="00C00130">
        <w:t>ing</w:t>
      </w:r>
      <w:r w:rsidR="00B07AC4">
        <w:t xml:space="preserve"> a </w:t>
      </w:r>
      <w:r>
        <w:t>taller, wider federal hierar</w:t>
      </w:r>
      <w:r w:rsidR="00B07AC4">
        <w:t>chy t</w:t>
      </w:r>
      <w:r w:rsidR="00C00130">
        <w:t xml:space="preserve">o his successor.  </w:t>
      </w:r>
      <w:r w:rsidR="00C00130">
        <w:rPr>
          <w:color w:val="000000" w:themeColor="text1"/>
        </w:rPr>
        <w:t xml:space="preserve">Alexander Hamilton’s believed that “clarity” of command was central to a government well executed, but “foggy” is the more accurate term today: </w:t>
      </w:r>
    </w:p>
    <w:p w14:paraId="3D9C0880" w14:textId="4ACBEA20" w:rsidR="00BA767A" w:rsidRDefault="00BA767A" w:rsidP="00BA767A">
      <w:pPr>
        <w:spacing w:line="480" w:lineRule="auto"/>
      </w:pPr>
    </w:p>
    <w:p w14:paraId="7447C700" w14:textId="723826FD" w:rsidR="00B07AC4" w:rsidRPr="00056C85" w:rsidRDefault="00B07AC4" w:rsidP="00B07AC4">
      <w:pPr>
        <w:pStyle w:val="ListParagraph"/>
        <w:numPr>
          <w:ilvl w:val="0"/>
          <w:numId w:val="2"/>
        </w:numPr>
        <w:spacing w:line="480" w:lineRule="auto"/>
        <w:ind w:left="1080"/>
        <w:rPr>
          <w:rFonts w:ascii="Times New Roman" w:eastAsia="Times New Roman" w:hAnsi="Times New Roman" w:cs="Times New Roman"/>
        </w:rPr>
      </w:pPr>
      <w:r w:rsidRPr="00056C85">
        <w:rPr>
          <w:rFonts w:ascii="Times New Roman" w:eastAsia="Times New Roman" w:hAnsi="Times New Roman" w:cs="Times New Roman"/>
          <w:color w:val="222222"/>
          <w:shd w:val="clear" w:color="auto" w:fill="FFFFFF"/>
        </w:rPr>
        <w:t xml:space="preserve">Whereas John F. Kennedy entered office in charge of seven cabinet departments, Trump </w:t>
      </w:r>
      <w:r w:rsidR="002B2B7F">
        <w:rPr>
          <w:rFonts w:ascii="Times New Roman" w:eastAsia="Times New Roman" w:hAnsi="Times New Roman" w:cs="Times New Roman"/>
          <w:color w:val="222222"/>
          <w:shd w:val="clear" w:color="auto" w:fill="FFFFFF"/>
        </w:rPr>
        <w:t>was put in charge</w:t>
      </w:r>
      <w:r w:rsidRPr="00056C85">
        <w:rPr>
          <w:rFonts w:ascii="Times New Roman" w:eastAsia="Times New Roman" w:hAnsi="Times New Roman" w:cs="Times New Roman"/>
          <w:color w:val="222222"/>
          <w:shd w:val="clear" w:color="auto" w:fill="FFFFFF"/>
        </w:rPr>
        <w:t xml:space="preserve"> of 15.</w:t>
      </w:r>
      <w:r>
        <w:rPr>
          <w:rFonts w:ascii="Times New Roman" w:eastAsia="Times New Roman" w:hAnsi="Times New Roman" w:cs="Times New Roman"/>
          <w:color w:val="222222"/>
          <w:shd w:val="clear" w:color="auto" w:fill="FFFFFF"/>
        </w:rPr>
        <w:t xml:space="preserve"> </w:t>
      </w:r>
    </w:p>
    <w:p w14:paraId="00AA2EBC" w14:textId="77777777" w:rsidR="00B07AC4" w:rsidRPr="00056C85" w:rsidRDefault="00B07AC4" w:rsidP="00B07AC4">
      <w:pPr>
        <w:pStyle w:val="ListParagraph"/>
        <w:spacing w:line="480" w:lineRule="auto"/>
        <w:ind w:left="1080"/>
        <w:rPr>
          <w:rFonts w:ascii="Times New Roman" w:eastAsia="Times New Roman" w:hAnsi="Times New Roman" w:cs="Times New Roman"/>
        </w:rPr>
      </w:pPr>
    </w:p>
    <w:p w14:paraId="1BCF8CC9" w14:textId="18E7FEC5" w:rsidR="00B07AC4" w:rsidRPr="00056C85" w:rsidRDefault="00B07AC4" w:rsidP="00B07AC4">
      <w:pPr>
        <w:pStyle w:val="ListParagraph"/>
        <w:numPr>
          <w:ilvl w:val="0"/>
          <w:numId w:val="2"/>
        </w:numPr>
        <w:spacing w:line="480" w:lineRule="auto"/>
        <w:ind w:left="1080"/>
        <w:rPr>
          <w:rFonts w:ascii="Times New Roman" w:eastAsia="Times New Roman" w:hAnsi="Times New Roman" w:cs="Times New Roman"/>
        </w:rPr>
      </w:pPr>
      <w:r w:rsidRPr="00056C85">
        <w:rPr>
          <w:rFonts w:ascii="Times New Roman" w:eastAsia="Times New Roman" w:hAnsi="Times New Roman" w:cs="Times New Roman"/>
          <w:color w:val="222222"/>
          <w:shd w:val="clear" w:color="auto" w:fill="FFFFFF"/>
        </w:rPr>
        <w:t xml:space="preserve">Whereas Kennedy </w:t>
      </w:r>
      <w:r w:rsidR="002B2B7F">
        <w:rPr>
          <w:rFonts w:ascii="Times New Roman" w:eastAsia="Times New Roman" w:hAnsi="Times New Roman" w:cs="Times New Roman"/>
          <w:color w:val="222222"/>
          <w:shd w:val="clear" w:color="auto" w:fill="FFFFFF"/>
        </w:rPr>
        <w:t xml:space="preserve">entered office in </w:t>
      </w:r>
      <w:r w:rsidRPr="00056C85">
        <w:rPr>
          <w:rFonts w:ascii="Times New Roman" w:eastAsia="Times New Roman" w:hAnsi="Times New Roman" w:cs="Times New Roman"/>
          <w:color w:val="222222"/>
          <w:shd w:val="clear" w:color="auto" w:fill="FFFFFF"/>
        </w:rPr>
        <w:t xml:space="preserve">charge of 17 layers of senior managers who worked for cabinet secretaries, deputy secretaries, undersecretaries, assistant secretaries, and administrators, Trump took charge of 71. </w:t>
      </w:r>
    </w:p>
    <w:p w14:paraId="0458AE20" w14:textId="77777777" w:rsidR="00B07AC4" w:rsidRPr="00056C85" w:rsidRDefault="00B07AC4" w:rsidP="00B07AC4">
      <w:pPr>
        <w:spacing w:line="480" w:lineRule="auto"/>
        <w:rPr>
          <w:rFonts w:eastAsia="Times New Roman"/>
          <w:color w:val="222222"/>
          <w:shd w:val="clear" w:color="auto" w:fill="FFFFFF"/>
        </w:rPr>
      </w:pPr>
    </w:p>
    <w:p w14:paraId="591CBBF5" w14:textId="63EC9EC6" w:rsidR="00B07AC4" w:rsidRPr="00056C85" w:rsidRDefault="00B07AC4" w:rsidP="00B07AC4">
      <w:pPr>
        <w:pStyle w:val="ListParagraph"/>
        <w:numPr>
          <w:ilvl w:val="0"/>
          <w:numId w:val="2"/>
        </w:numPr>
        <w:spacing w:line="480" w:lineRule="auto"/>
        <w:ind w:left="1080"/>
        <w:rPr>
          <w:rFonts w:ascii="Times New Roman" w:eastAsia="Times New Roman" w:hAnsi="Times New Roman" w:cs="Times New Roman"/>
        </w:rPr>
      </w:pPr>
      <w:r w:rsidRPr="00056C85">
        <w:rPr>
          <w:rFonts w:ascii="Times New Roman" w:eastAsia="Times New Roman" w:hAnsi="Times New Roman" w:cs="Times New Roman"/>
          <w:color w:val="222222"/>
          <w:shd w:val="clear" w:color="auto" w:fill="FFFFFF"/>
        </w:rPr>
        <w:t>Finally, whereas Kennedy a</w:t>
      </w:r>
      <w:r w:rsidR="002B2B7F">
        <w:rPr>
          <w:rFonts w:ascii="Times New Roman" w:eastAsia="Times New Roman" w:hAnsi="Times New Roman" w:cs="Times New Roman"/>
          <w:color w:val="222222"/>
          <w:shd w:val="clear" w:color="auto" w:fill="FFFFFF"/>
        </w:rPr>
        <w:t xml:space="preserve">ppointed or oversaw 451 leaders, </w:t>
      </w:r>
      <w:r w:rsidR="00D55C60">
        <w:rPr>
          <w:rFonts w:ascii="Times New Roman" w:eastAsia="Times New Roman" w:hAnsi="Times New Roman" w:cs="Times New Roman"/>
          <w:color w:val="222222"/>
          <w:shd w:val="clear" w:color="auto" w:fill="FFFFFF"/>
        </w:rPr>
        <w:t>Trump inherited 3,265</w:t>
      </w:r>
      <w:r w:rsidRPr="00056C85">
        <w:rPr>
          <w:rFonts w:ascii="Times New Roman" w:eastAsia="Times New Roman" w:hAnsi="Times New Roman" w:cs="Times New Roman"/>
          <w:color w:val="222222"/>
          <w:shd w:val="clear" w:color="auto" w:fill="FFFFFF"/>
        </w:rPr>
        <w:t>.</w:t>
      </w:r>
      <w:r>
        <w:rPr>
          <w:rStyle w:val="EndnoteReference"/>
          <w:rFonts w:ascii="Times New Roman" w:eastAsia="Times New Roman" w:hAnsi="Times New Roman" w:cs="Times New Roman"/>
          <w:color w:val="222222"/>
          <w:shd w:val="clear" w:color="auto" w:fill="FFFFFF"/>
        </w:rPr>
        <w:endnoteReference w:id="1"/>
      </w:r>
      <w:r w:rsidRPr="00056C85">
        <w:rPr>
          <w:rFonts w:ascii="Times New Roman" w:eastAsia="Times New Roman" w:hAnsi="Times New Roman" w:cs="Times New Roman"/>
          <w:color w:val="222222"/>
          <w:shd w:val="clear" w:color="auto" w:fill="FFFFFF"/>
        </w:rPr>
        <w:t xml:space="preserve"> </w:t>
      </w:r>
    </w:p>
    <w:p w14:paraId="669CB2CB" w14:textId="77777777" w:rsidR="00B07AC4" w:rsidRDefault="00B07AC4" w:rsidP="00BA767A">
      <w:pPr>
        <w:spacing w:line="480" w:lineRule="auto"/>
      </w:pPr>
    </w:p>
    <w:p w14:paraId="376E3AA8" w14:textId="3BBBBF48" w:rsidR="008D3A79" w:rsidRDefault="00BA767A" w:rsidP="003D5001">
      <w:pPr>
        <w:suppressAutoHyphens/>
        <w:spacing w:line="480" w:lineRule="auto"/>
        <w:ind w:firstLine="432"/>
        <w:rPr>
          <w:color w:val="000000" w:themeColor="text1"/>
        </w:rPr>
      </w:pPr>
      <w:r>
        <w:t xml:space="preserve">The impact of the thickening is in the headlines regularly.  Information must pass through layer upon layer before it reaches the top of the hierarchy, if it reaches the top at all, while guidance and oversight must pass </w:t>
      </w:r>
      <w:r w:rsidR="00DC053A">
        <w:t xml:space="preserve">down </w:t>
      </w:r>
      <w:r>
        <w:t xml:space="preserve">through layer upon layer on the way to the frontlines, if it ever reaches the frontlines at all.  It is little wonder that no one can be held accountable for what goes wrong or right in government, especially in a hierarchy where presidential appointees </w:t>
      </w:r>
      <w:r w:rsidR="00D5128D">
        <w:t xml:space="preserve">serve for two years on average </w:t>
      </w:r>
      <w:r>
        <w:t>and information is often delivered by word of mouth through a process that has come to resemble the childhood game of telephone</w:t>
      </w:r>
      <w:r w:rsidR="00236FAB">
        <w:t xml:space="preserve"> or gossip</w:t>
      </w:r>
      <w:r>
        <w:t>.</w:t>
      </w:r>
      <w:r w:rsidR="008D3A79" w:rsidRPr="008D3A79">
        <w:rPr>
          <w:color w:val="000000" w:themeColor="text1"/>
        </w:rPr>
        <w:t xml:space="preserve"> </w:t>
      </w:r>
    </w:p>
    <w:p w14:paraId="232010AF" w14:textId="77777777" w:rsidR="005D471E" w:rsidRDefault="005D471E" w:rsidP="003D5001">
      <w:pPr>
        <w:suppressAutoHyphens/>
        <w:spacing w:line="480" w:lineRule="auto"/>
        <w:ind w:firstLine="432"/>
        <w:rPr>
          <w:color w:val="000000" w:themeColor="text1"/>
        </w:rPr>
      </w:pPr>
    </w:p>
    <w:p w14:paraId="57DF7FD8" w14:textId="0D8AD1E1" w:rsidR="008D3A79" w:rsidRDefault="00DB749F" w:rsidP="003D5001">
      <w:pPr>
        <w:suppressAutoHyphens/>
        <w:spacing w:line="480" w:lineRule="auto"/>
        <w:jc w:val="center"/>
        <w:rPr>
          <w:color w:val="000000" w:themeColor="text1"/>
        </w:rPr>
      </w:pPr>
      <w:r>
        <w:rPr>
          <w:color w:val="000000" w:themeColor="text1"/>
        </w:rPr>
        <w:t>COUNTING LAYERS AND LEADERS</w:t>
      </w:r>
    </w:p>
    <w:p w14:paraId="7D64E7DD" w14:textId="77777777" w:rsidR="005D471E" w:rsidRDefault="005D471E" w:rsidP="003D5001">
      <w:pPr>
        <w:suppressAutoHyphens/>
        <w:spacing w:line="480" w:lineRule="auto"/>
        <w:jc w:val="center"/>
        <w:rPr>
          <w:color w:val="000000" w:themeColor="text1"/>
        </w:rPr>
      </w:pPr>
    </w:p>
    <w:p w14:paraId="2D38EA97" w14:textId="6AB21B8C" w:rsidR="00C2751D" w:rsidRDefault="008D3A79" w:rsidP="00C00130">
      <w:pPr>
        <w:spacing w:line="480" w:lineRule="auto"/>
        <w:ind w:firstLine="450"/>
        <w:rPr>
          <w:color w:val="000000" w:themeColor="text1"/>
        </w:rPr>
      </w:pPr>
      <w:r>
        <w:rPr>
          <w:color w:val="000000" w:themeColor="text1"/>
        </w:rPr>
        <w:t xml:space="preserve">Every president since Franklin Delano Roosevelt has criticized big government on the campaign trail and Trump has embraced his White House counsel’s fight to “deconstruct of the administrative state,” but </w:t>
      </w:r>
      <w:r w:rsidR="00C2751D">
        <w:rPr>
          <w:color w:val="000000" w:themeColor="text1"/>
        </w:rPr>
        <w:t xml:space="preserve">the </w:t>
      </w:r>
      <w:r>
        <w:rPr>
          <w:color w:val="000000" w:themeColor="text1"/>
        </w:rPr>
        <w:t>height and width of the five compartments of senior political appointees</w:t>
      </w:r>
      <w:r w:rsidR="00C2751D">
        <w:rPr>
          <w:color w:val="000000" w:themeColor="text1"/>
        </w:rPr>
        <w:t xml:space="preserve"> has risen with few breaks</w:t>
      </w:r>
      <w:r w:rsidR="0058059E">
        <w:rPr>
          <w:color w:val="000000" w:themeColor="text1"/>
        </w:rPr>
        <w:t xml:space="preserve">: </w:t>
      </w:r>
      <w:r w:rsidR="00801BD5">
        <w:rPr>
          <w:color w:val="000000" w:themeColor="text1"/>
        </w:rPr>
        <w:t>(1) secretaries, (2) deputy secretaries, (3) undersecretaries, (4) assistant secretaries, and (5).  All these titles have been enshrined in statute as part of the Presidential Appointee System (PAS) and include an assortment of other highly-placed preside</w:t>
      </w:r>
      <w:r w:rsidR="00FD0D1A">
        <w:rPr>
          <w:color w:val="000000" w:themeColor="text1"/>
        </w:rPr>
        <w:t>ntial appointees such as the Federal Bureau of Investigation (FBI)</w:t>
      </w:r>
      <w:r w:rsidR="00801BD5">
        <w:rPr>
          <w:color w:val="000000" w:themeColor="text1"/>
        </w:rPr>
        <w:t xml:space="preserve"> </w:t>
      </w:r>
      <w:r w:rsidR="00FD0D1A">
        <w:rPr>
          <w:color w:val="000000" w:themeColor="text1"/>
        </w:rPr>
        <w:t xml:space="preserve">director </w:t>
      </w:r>
      <w:r w:rsidR="00801BD5">
        <w:rPr>
          <w:color w:val="000000" w:themeColor="text1"/>
        </w:rPr>
        <w:t>and Federal Emer</w:t>
      </w:r>
      <w:r w:rsidR="00FD0D1A">
        <w:rPr>
          <w:color w:val="000000" w:themeColor="text1"/>
        </w:rPr>
        <w:t>gency Management Agency (FEMA) administrator</w:t>
      </w:r>
      <w:r w:rsidR="00801BD5">
        <w:rPr>
          <w:color w:val="000000" w:themeColor="text1"/>
        </w:rPr>
        <w:t xml:space="preserve"> at executive level II and General Counsels, Inspectors General, and Chief Financial Officers at executi</w:t>
      </w:r>
      <w:r w:rsidR="00FD0D1A">
        <w:rPr>
          <w:color w:val="000000" w:themeColor="text1"/>
        </w:rPr>
        <w:t>ve level IV</w:t>
      </w:r>
      <w:r>
        <w:rPr>
          <w:color w:val="000000" w:themeColor="text1"/>
        </w:rPr>
        <w:t xml:space="preserve">. </w:t>
      </w:r>
    </w:p>
    <w:p w14:paraId="0CBBF133" w14:textId="2A147179" w:rsidR="00C2751D" w:rsidRDefault="00C2751D" w:rsidP="00C00130">
      <w:pPr>
        <w:spacing w:line="480" w:lineRule="auto"/>
        <w:ind w:firstLine="450"/>
      </w:pPr>
      <w:r>
        <w:t xml:space="preserve">The evidence of increased thickening comes from </w:t>
      </w:r>
      <w:r w:rsidR="006A7913">
        <w:t xml:space="preserve">my </w:t>
      </w:r>
      <w:r>
        <w:t xml:space="preserve">inventories of </w:t>
      </w:r>
      <w:r w:rsidR="006A7913">
        <w:t>the number layers (</w:t>
      </w:r>
      <w:r>
        <w:t>titles</w:t>
      </w:r>
      <w:r w:rsidR="00AD72BE">
        <w:t>)</w:t>
      </w:r>
      <w:r>
        <w:t xml:space="preserve"> and </w:t>
      </w:r>
      <w:r w:rsidR="00607F6C">
        <w:t xml:space="preserve">leaders (title-holders) </w:t>
      </w:r>
      <w:r>
        <w:t xml:space="preserve">collected every six years between1960 and 2016.  The inventories are </w:t>
      </w:r>
      <w:r w:rsidR="00912C1A">
        <w:t>based on a careful coding of the</w:t>
      </w:r>
      <w:r>
        <w:rPr>
          <w:i/>
        </w:rPr>
        <w:t xml:space="preserve"> </w:t>
      </w:r>
      <w:r w:rsidRPr="0090052E">
        <w:rPr>
          <w:i/>
        </w:rPr>
        <w:t>Federal Yellow Book</w:t>
      </w:r>
      <w:r>
        <w:t xml:space="preserve"> </w:t>
      </w:r>
      <w:r w:rsidR="006B21D0">
        <w:t>the six-year intervals</w:t>
      </w:r>
      <w:r>
        <w:t>.</w:t>
      </w:r>
      <w:r w:rsidR="00912C1A">
        <w:rPr>
          <w:rStyle w:val="EndnoteReference"/>
        </w:rPr>
        <w:endnoteReference w:id="2"/>
      </w:r>
      <w:r>
        <w:t xml:space="preserve">  </w:t>
      </w:r>
      <w:r>
        <w:lastRenderedPageBreak/>
        <w:t xml:space="preserve">The directories contain the </w:t>
      </w:r>
      <w:r w:rsidR="006B21D0">
        <w:t xml:space="preserve">titles, name of the current occupant, and phone number of every senior appointees in the </w:t>
      </w:r>
      <w:r>
        <w:t xml:space="preserve">federal government’s departments and agencies, </w:t>
      </w:r>
      <w:r w:rsidR="006B21D0">
        <w:t xml:space="preserve">but </w:t>
      </w:r>
      <w:r>
        <w:t xml:space="preserve">my inventories focus </w:t>
      </w:r>
      <w:r w:rsidR="006B21D0">
        <w:t xml:space="preserve">exclusively the layers and leaders who occupy the </w:t>
      </w:r>
      <w:r>
        <w:t xml:space="preserve">five leadership compartments </w:t>
      </w:r>
      <w:r w:rsidR="006B21D0">
        <w:t>in the 15 cabinet departments.</w:t>
      </w:r>
    </w:p>
    <w:p w14:paraId="2E025155" w14:textId="77777777" w:rsidR="00862419" w:rsidRDefault="006B21D0" w:rsidP="00DB749F">
      <w:pPr>
        <w:spacing w:line="480" w:lineRule="auto"/>
        <w:ind w:firstLine="432"/>
      </w:pPr>
      <w:r>
        <w:t xml:space="preserve">These inventories only include </w:t>
      </w:r>
      <w:r w:rsidR="00113E17">
        <w:t>titles with a direct link</w:t>
      </w:r>
      <w:r>
        <w:t xml:space="preserve"> to the </w:t>
      </w:r>
      <w:r w:rsidR="00113E17">
        <w:t xml:space="preserve">Senate-confirmed </w:t>
      </w:r>
      <w:r w:rsidR="00F36DBF">
        <w:t>appointee</w:t>
      </w:r>
      <w:r>
        <w:t>s who head each compartment of PAS appointees</w:t>
      </w:r>
      <w:r w:rsidR="00F36DBF">
        <w:t>. Thes</w:t>
      </w:r>
      <w:r>
        <w:t xml:space="preserve">e links are built on terms such </w:t>
      </w:r>
      <w:r w:rsidR="00F36DBF">
        <w:t xml:space="preserve">as </w:t>
      </w:r>
      <w:r w:rsidR="00C2751D">
        <w:t>chief of staff</w:t>
      </w:r>
      <w:r>
        <w:t xml:space="preserve"> to the secretary</w:t>
      </w:r>
      <w:r w:rsidR="00F36DBF">
        <w:t xml:space="preserve">, </w:t>
      </w:r>
      <w:r w:rsidR="00C2751D">
        <w:t xml:space="preserve">associate deputy secretary, </w:t>
      </w:r>
      <w:r w:rsidR="00862419">
        <w:t xml:space="preserve">principle </w:t>
      </w:r>
      <w:r>
        <w:t xml:space="preserve">deputy undersecretary, </w:t>
      </w:r>
      <w:r w:rsidR="00862419">
        <w:t xml:space="preserve">deputy </w:t>
      </w:r>
      <w:r w:rsidR="00F36DBF">
        <w:t xml:space="preserve">assistant secretary, or </w:t>
      </w:r>
      <w:r w:rsidR="00862419">
        <w:t xml:space="preserve">assistant deputy </w:t>
      </w:r>
      <w:r w:rsidR="00F36DBF">
        <w:t xml:space="preserve">administrator. </w:t>
      </w:r>
      <w:r w:rsidR="00862419">
        <w:t xml:space="preserve">Similar “title-extenders” exist for the FBI director and the Inspectors General, General Counsels, and so forth. </w:t>
      </w:r>
    </w:p>
    <w:p w14:paraId="6761C7BF" w14:textId="1E612627" w:rsidR="00C2751D" w:rsidRDefault="00862419" w:rsidP="00DB749F">
      <w:pPr>
        <w:spacing w:line="480" w:lineRule="auto"/>
        <w:ind w:firstLine="432"/>
      </w:pPr>
      <w:r>
        <w:t xml:space="preserve">According to these </w:t>
      </w:r>
      <w:r w:rsidR="00F36DBF">
        <w:t>inventories</w:t>
      </w:r>
      <w:r w:rsidR="00C2751D">
        <w:t xml:space="preserve">, the </w:t>
      </w:r>
      <w:r w:rsidR="00F36DBF">
        <w:t>layers of leaders and leaders per layers</w:t>
      </w:r>
      <w:r>
        <w:t xml:space="preserve"> has grown with few interruptions every six years 1961 and 2016.  As of 2016, my inventory shows the </w:t>
      </w:r>
      <w:r w:rsidR="00F36DBF">
        <w:t xml:space="preserve">tallest, widest leadership hierarchy since I </w:t>
      </w:r>
      <w:r>
        <w:t>began doing the painstaking analysis of every department in 1961</w:t>
      </w:r>
      <w:r w:rsidR="00C2751D">
        <w:t>.  The thickening occurred in every department, including many that are not involved in homeland security</w:t>
      </w:r>
      <w:r w:rsidR="00F54C30">
        <w:t xml:space="preserve">, healthcare reform, education, the economic stimulus, the United Nation’s international development goals, or climate change. </w:t>
      </w:r>
      <w:r w:rsidR="00C2751D">
        <w:t>Table 1 shows the 2016 inventory of titles, while Table 2 shows the number of titles and occupants from 1960 to 2016.</w:t>
      </w:r>
    </w:p>
    <w:p w14:paraId="7F35D403" w14:textId="5657E6E7" w:rsidR="008D3A79" w:rsidRDefault="008D3A79" w:rsidP="00862419">
      <w:pPr>
        <w:suppressAutoHyphens/>
        <w:jc w:val="center"/>
        <w:outlineLvl w:val="0"/>
        <w:rPr>
          <w:color w:val="000000" w:themeColor="text1"/>
        </w:rPr>
      </w:pPr>
      <w:r>
        <w:rPr>
          <w:color w:val="000000" w:themeColor="text1"/>
        </w:rPr>
        <w:t>TABLE 1</w:t>
      </w:r>
      <w:r w:rsidRPr="000F6542">
        <w:rPr>
          <w:color w:val="000000" w:themeColor="text1"/>
        </w:rPr>
        <w:t xml:space="preserve">: </w:t>
      </w:r>
      <w:r w:rsidR="00B91B3A">
        <w:rPr>
          <w:color w:val="000000" w:themeColor="text1"/>
        </w:rPr>
        <w:t>LAYERS OF LEADERS</w:t>
      </w:r>
      <w:r>
        <w:rPr>
          <w:color w:val="000000" w:themeColor="text1"/>
        </w:rPr>
        <w:t>, 2016</w:t>
      </w:r>
    </w:p>
    <w:p w14:paraId="2FACEDB5" w14:textId="77777777" w:rsidR="00862419" w:rsidRDefault="00862419" w:rsidP="00862419">
      <w:pPr>
        <w:suppressAutoHyphens/>
        <w:jc w:val="center"/>
        <w:outlineLvl w:val="0"/>
        <w:rPr>
          <w:color w:val="000000" w:themeColor="text1"/>
        </w:rPr>
      </w:pPr>
    </w:p>
    <w:p w14:paraId="182806C2" w14:textId="77777777" w:rsidR="00862419" w:rsidRDefault="00862419" w:rsidP="00862419">
      <w:pPr>
        <w:suppressAutoHyphens/>
        <w:jc w:val="center"/>
        <w:outlineLvl w:val="0"/>
        <w:rPr>
          <w:color w:val="000000" w:themeColor="text1"/>
        </w:rPr>
      </w:pPr>
    </w:p>
    <w:tbl>
      <w:tblPr>
        <w:tblW w:w="0" w:type="auto"/>
        <w:tblInd w:w="-5" w:type="dxa"/>
        <w:tblBorders>
          <w:top w:val="single" w:sz="4" w:space="0" w:color="auto"/>
          <w:left w:val="single" w:sz="4" w:space="0" w:color="auto"/>
          <w:bottom w:val="single" w:sz="4" w:space="0" w:color="auto"/>
          <w:right w:val="single" w:sz="4" w:space="0" w:color="auto"/>
          <w:insideV w:val="single" w:sz="4" w:space="0" w:color="auto"/>
        </w:tblBorders>
        <w:tblCellMar>
          <w:left w:w="0" w:type="dxa"/>
          <w:right w:w="0" w:type="dxa"/>
        </w:tblCellMar>
        <w:tblLook w:val="01E0" w:firstRow="1" w:lastRow="1" w:firstColumn="1" w:lastColumn="1" w:noHBand="0" w:noVBand="0"/>
      </w:tblPr>
      <w:tblGrid>
        <w:gridCol w:w="2880"/>
        <w:gridCol w:w="2880"/>
        <w:gridCol w:w="2880"/>
      </w:tblGrid>
      <w:tr w:rsidR="008D3A79" w:rsidRPr="00F534EA" w14:paraId="041586FD" w14:textId="77777777" w:rsidTr="008A6CAF">
        <w:trPr>
          <w:trHeight w:val="710"/>
        </w:trPr>
        <w:tc>
          <w:tcPr>
            <w:tcW w:w="2880" w:type="dxa"/>
          </w:tcPr>
          <w:p w14:paraId="35FFEA95" w14:textId="77777777" w:rsidR="008D3A79" w:rsidRPr="00F534EA" w:rsidRDefault="008D3A79" w:rsidP="00B07AC4">
            <w:pPr>
              <w:pStyle w:val="TBFL"/>
              <w:spacing w:line="240" w:lineRule="auto"/>
              <w:ind w:left="455" w:hanging="455"/>
              <w:jc w:val="center"/>
              <w:rPr>
                <w:rFonts w:ascii="Times New Roman" w:hAnsi="Times New Roman"/>
                <w:color w:val="000000" w:themeColor="text1"/>
                <w:sz w:val="20"/>
              </w:rPr>
            </w:pPr>
            <w:r w:rsidRPr="00F534EA">
              <w:rPr>
                <w:rFonts w:ascii="Times New Roman" w:hAnsi="Times New Roman"/>
                <w:color w:val="000000" w:themeColor="text1"/>
                <w:sz w:val="20"/>
              </w:rPr>
              <w:t>I</w:t>
            </w:r>
          </w:p>
          <w:p w14:paraId="35D7392F" w14:textId="77777777" w:rsidR="008D3A79" w:rsidRPr="00F534EA" w:rsidRDefault="008D3A79" w:rsidP="00FB2251">
            <w:pPr>
              <w:pStyle w:val="TBFL"/>
              <w:numPr>
                <w:ilvl w:val="0"/>
                <w:numId w:val="1"/>
              </w:numPr>
              <w:spacing w:line="240" w:lineRule="auto"/>
              <w:ind w:left="545"/>
              <w:rPr>
                <w:rFonts w:ascii="Times New Roman" w:hAnsi="Times New Roman"/>
                <w:color w:val="000000" w:themeColor="text1"/>
                <w:sz w:val="20"/>
              </w:rPr>
            </w:pPr>
            <w:r w:rsidRPr="00F534EA">
              <w:rPr>
                <w:rFonts w:ascii="Times New Roman" w:hAnsi="Times New Roman"/>
                <w:color w:val="000000" w:themeColor="text1"/>
                <w:sz w:val="20"/>
              </w:rPr>
              <w:t>Secretary</w:t>
            </w:r>
          </w:p>
          <w:p w14:paraId="1CB99EDC" w14:textId="77777777" w:rsidR="008D3A79" w:rsidRPr="00F534EA" w:rsidRDefault="008D3A79" w:rsidP="00FB2251">
            <w:pPr>
              <w:pStyle w:val="TBFL"/>
              <w:numPr>
                <w:ilvl w:val="0"/>
                <w:numId w:val="1"/>
              </w:numPr>
              <w:spacing w:line="240" w:lineRule="auto"/>
              <w:ind w:left="545"/>
              <w:rPr>
                <w:rFonts w:ascii="Times New Roman" w:hAnsi="Times New Roman"/>
                <w:color w:val="000000" w:themeColor="text1"/>
                <w:sz w:val="20"/>
              </w:rPr>
            </w:pPr>
            <w:r w:rsidRPr="00F534EA">
              <w:rPr>
                <w:rFonts w:ascii="Times New Roman" w:hAnsi="Times New Roman"/>
                <w:color w:val="000000" w:themeColor="text1"/>
                <w:sz w:val="20"/>
              </w:rPr>
              <w:t>Chief of staff to the secretary</w:t>
            </w:r>
          </w:p>
          <w:p w14:paraId="18102F26" w14:textId="77777777" w:rsidR="008D3A79" w:rsidRPr="00F534EA" w:rsidRDefault="008D3A79" w:rsidP="00FB2251">
            <w:pPr>
              <w:pStyle w:val="TBFL"/>
              <w:numPr>
                <w:ilvl w:val="0"/>
                <w:numId w:val="1"/>
              </w:numPr>
              <w:spacing w:line="240" w:lineRule="auto"/>
              <w:ind w:left="545"/>
              <w:rPr>
                <w:rFonts w:ascii="Times New Roman" w:hAnsi="Times New Roman"/>
                <w:color w:val="000000" w:themeColor="text1"/>
                <w:sz w:val="20"/>
              </w:rPr>
            </w:pPr>
            <w:r w:rsidRPr="00F534EA">
              <w:rPr>
                <w:rFonts w:ascii="Times New Roman" w:hAnsi="Times New Roman"/>
                <w:color w:val="000000" w:themeColor="text1"/>
                <w:sz w:val="20"/>
              </w:rPr>
              <w:t>Deputy chief of staff to the secretary</w:t>
            </w:r>
          </w:p>
          <w:p w14:paraId="3FED7462" w14:textId="77777777" w:rsidR="008D3A79" w:rsidRPr="00F534EA" w:rsidRDefault="008D3A79" w:rsidP="00B07AC4">
            <w:pPr>
              <w:pStyle w:val="TBFL"/>
              <w:spacing w:line="240" w:lineRule="auto"/>
              <w:jc w:val="center"/>
              <w:rPr>
                <w:rFonts w:ascii="Times New Roman" w:hAnsi="Times New Roman"/>
                <w:color w:val="000000" w:themeColor="text1"/>
                <w:sz w:val="20"/>
              </w:rPr>
            </w:pPr>
            <w:r w:rsidRPr="00F534EA">
              <w:rPr>
                <w:rFonts w:ascii="Times New Roman" w:hAnsi="Times New Roman"/>
                <w:color w:val="000000" w:themeColor="text1"/>
                <w:sz w:val="20"/>
              </w:rPr>
              <w:t>II</w:t>
            </w:r>
          </w:p>
          <w:p w14:paraId="1396BA8E" w14:textId="00508B93" w:rsidR="008D3A79" w:rsidRDefault="008D3A79" w:rsidP="00FB2251">
            <w:pPr>
              <w:pStyle w:val="TBFL"/>
              <w:numPr>
                <w:ilvl w:val="0"/>
                <w:numId w:val="1"/>
              </w:numPr>
              <w:spacing w:line="240" w:lineRule="auto"/>
              <w:ind w:left="545"/>
              <w:rPr>
                <w:rFonts w:ascii="Times New Roman" w:hAnsi="Times New Roman"/>
                <w:color w:val="000000" w:themeColor="text1"/>
                <w:sz w:val="20"/>
              </w:rPr>
            </w:pPr>
            <w:r w:rsidRPr="00F534EA">
              <w:rPr>
                <w:rFonts w:ascii="Times New Roman" w:hAnsi="Times New Roman"/>
                <w:color w:val="000000" w:themeColor="text1"/>
                <w:sz w:val="20"/>
              </w:rPr>
              <w:t>Deputy secretary</w:t>
            </w:r>
            <w:r w:rsidR="00FD0D1A">
              <w:rPr>
                <w:rFonts w:ascii="Times New Roman" w:hAnsi="Times New Roman"/>
                <w:color w:val="000000" w:themeColor="text1"/>
                <w:sz w:val="20"/>
              </w:rPr>
              <w:t xml:space="preserve"> (or FBI direct and FEMA Administrator, etc.)</w:t>
            </w:r>
          </w:p>
          <w:p w14:paraId="187FA318" w14:textId="77777777" w:rsidR="008D3A79" w:rsidRPr="00F534EA" w:rsidRDefault="008D3A79" w:rsidP="00FB2251">
            <w:pPr>
              <w:pStyle w:val="TBFL"/>
              <w:numPr>
                <w:ilvl w:val="0"/>
                <w:numId w:val="1"/>
              </w:numPr>
              <w:spacing w:line="240" w:lineRule="auto"/>
              <w:ind w:left="545"/>
              <w:rPr>
                <w:rFonts w:ascii="Times New Roman" w:hAnsi="Times New Roman"/>
                <w:color w:val="000000" w:themeColor="text1"/>
                <w:sz w:val="20"/>
              </w:rPr>
            </w:pPr>
            <w:r>
              <w:rPr>
                <w:rFonts w:ascii="Times New Roman" w:hAnsi="Times New Roman"/>
                <w:color w:val="000000" w:themeColor="text1"/>
                <w:sz w:val="20"/>
              </w:rPr>
              <w:t>Deputy secretary with portfolio</w:t>
            </w:r>
          </w:p>
          <w:p w14:paraId="73A08A76" w14:textId="77777777" w:rsidR="008D3A79" w:rsidRPr="00F534EA" w:rsidRDefault="008D3A79" w:rsidP="00FB2251">
            <w:pPr>
              <w:pStyle w:val="TBFL"/>
              <w:numPr>
                <w:ilvl w:val="0"/>
                <w:numId w:val="1"/>
              </w:numPr>
              <w:spacing w:line="240" w:lineRule="auto"/>
              <w:ind w:left="545"/>
              <w:rPr>
                <w:rFonts w:ascii="Times New Roman" w:hAnsi="Times New Roman"/>
                <w:color w:val="000000" w:themeColor="text1"/>
                <w:sz w:val="20"/>
              </w:rPr>
            </w:pPr>
            <w:r w:rsidRPr="00F534EA">
              <w:rPr>
                <w:rFonts w:ascii="Times New Roman" w:hAnsi="Times New Roman"/>
                <w:color w:val="000000" w:themeColor="text1"/>
                <w:sz w:val="20"/>
              </w:rPr>
              <w:lastRenderedPageBreak/>
              <w:t>Chief of staff to the deputy secretary</w:t>
            </w:r>
          </w:p>
          <w:p w14:paraId="70ECBA4A" w14:textId="77777777" w:rsidR="008D3A79" w:rsidRPr="00F534EA" w:rsidRDefault="008D3A79" w:rsidP="00FB2251">
            <w:pPr>
              <w:pStyle w:val="TBFL"/>
              <w:numPr>
                <w:ilvl w:val="0"/>
                <w:numId w:val="1"/>
              </w:numPr>
              <w:spacing w:line="240" w:lineRule="auto"/>
              <w:ind w:left="545"/>
              <w:rPr>
                <w:rFonts w:ascii="Times New Roman" w:hAnsi="Times New Roman"/>
                <w:color w:val="000000" w:themeColor="text1"/>
                <w:sz w:val="20"/>
              </w:rPr>
            </w:pPr>
            <w:r w:rsidRPr="00F534EA">
              <w:rPr>
                <w:rFonts w:ascii="Times New Roman" w:hAnsi="Times New Roman"/>
                <w:color w:val="000000" w:themeColor="text1"/>
                <w:sz w:val="20"/>
              </w:rPr>
              <w:t>Deputy chief of staff</w:t>
            </w:r>
          </w:p>
          <w:p w14:paraId="44B3989A" w14:textId="77777777" w:rsidR="008D3A79" w:rsidRPr="00F534EA" w:rsidRDefault="008D3A79" w:rsidP="00FB2251">
            <w:pPr>
              <w:pStyle w:val="TBFL"/>
              <w:numPr>
                <w:ilvl w:val="0"/>
                <w:numId w:val="1"/>
              </w:numPr>
              <w:spacing w:line="240" w:lineRule="auto"/>
              <w:ind w:left="545"/>
              <w:rPr>
                <w:rFonts w:ascii="Times New Roman" w:hAnsi="Times New Roman"/>
                <w:color w:val="000000" w:themeColor="text1"/>
                <w:sz w:val="20"/>
              </w:rPr>
            </w:pPr>
            <w:r w:rsidRPr="00F534EA">
              <w:rPr>
                <w:rFonts w:ascii="Times New Roman" w:hAnsi="Times New Roman"/>
                <w:color w:val="000000" w:themeColor="text1"/>
                <w:sz w:val="20"/>
              </w:rPr>
              <w:t>Principal associate deputy secretary</w:t>
            </w:r>
          </w:p>
          <w:p w14:paraId="38F21F31" w14:textId="77777777" w:rsidR="008D3A79" w:rsidRPr="00F534EA" w:rsidRDefault="008D3A79" w:rsidP="00FB2251">
            <w:pPr>
              <w:pStyle w:val="TBFL"/>
              <w:numPr>
                <w:ilvl w:val="0"/>
                <w:numId w:val="1"/>
              </w:numPr>
              <w:spacing w:line="240" w:lineRule="auto"/>
              <w:ind w:left="545"/>
              <w:rPr>
                <w:rFonts w:ascii="Times New Roman" w:hAnsi="Times New Roman"/>
                <w:color w:val="000000" w:themeColor="text1"/>
                <w:sz w:val="20"/>
              </w:rPr>
            </w:pPr>
            <w:r w:rsidRPr="00F534EA">
              <w:rPr>
                <w:rFonts w:ascii="Times New Roman" w:hAnsi="Times New Roman"/>
                <w:color w:val="000000" w:themeColor="text1"/>
                <w:sz w:val="20"/>
              </w:rPr>
              <w:t>Associate deputy secretary</w:t>
            </w:r>
          </w:p>
          <w:p w14:paraId="3BA36D13" w14:textId="77777777" w:rsidR="008D3A79" w:rsidRPr="00F534EA" w:rsidRDefault="008D3A79" w:rsidP="00FB2251">
            <w:pPr>
              <w:pStyle w:val="TBFL"/>
              <w:numPr>
                <w:ilvl w:val="0"/>
                <w:numId w:val="1"/>
              </w:numPr>
              <w:spacing w:line="240" w:lineRule="auto"/>
              <w:ind w:left="545"/>
              <w:rPr>
                <w:rFonts w:ascii="Times New Roman" w:hAnsi="Times New Roman"/>
                <w:color w:val="000000" w:themeColor="text1"/>
                <w:sz w:val="20"/>
              </w:rPr>
            </w:pPr>
            <w:r w:rsidRPr="00F534EA">
              <w:rPr>
                <w:rFonts w:ascii="Times New Roman" w:hAnsi="Times New Roman"/>
                <w:color w:val="000000" w:themeColor="text1"/>
                <w:sz w:val="20"/>
              </w:rPr>
              <w:t>Deputy associate deputy secretary</w:t>
            </w:r>
          </w:p>
          <w:p w14:paraId="079C3651" w14:textId="77777777" w:rsidR="008D3A79" w:rsidRPr="00F534EA" w:rsidRDefault="008D3A79" w:rsidP="00FB2251">
            <w:pPr>
              <w:pStyle w:val="TBFL"/>
              <w:numPr>
                <w:ilvl w:val="0"/>
                <w:numId w:val="1"/>
              </w:numPr>
              <w:spacing w:line="240" w:lineRule="auto"/>
              <w:ind w:left="545"/>
              <w:rPr>
                <w:rFonts w:ascii="Times New Roman" w:hAnsi="Times New Roman"/>
                <w:color w:val="000000" w:themeColor="text1"/>
                <w:sz w:val="20"/>
              </w:rPr>
            </w:pPr>
            <w:r w:rsidRPr="00F534EA">
              <w:rPr>
                <w:rFonts w:ascii="Times New Roman" w:hAnsi="Times New Roman"/>
                <w:color w:val="000000" w:themeColor="text1"/>
                <w:sz w:val="20"/>
              </w:rPr>
              <w:t>Assistant deputy secretary</w:t>
            </w:r>
          </w:p>
          <w:p w14:paraId="0EDC6EB0" w14:textId="77777777" w:rsidR="008D3A79" w:rsidRPr="00F534EA" w:rsidRDefault="008D3A79" w:rsidP="00FB2251">
            <w:pPr>
              <w:pStyle w:val="TBFL"/>
              <w:numPr>
                <w:ilvl w:val="0"/>
                <w:numId w:val="1"/>
              </w:numPr>
              <w:spacing w:line="240" w:lineRule="auto"/>
              <w:ind w:left="545"/>
              <w:rPr>
                <w:rFonts w:ascii="Times New Roman" w:hAnsi="Times New Roman"/>
                <w:color w:val="000000" w:themeColor="text1"/>
                <w:sz w:val="20"/>
              </w:rPr>
            </w:pPr>
            <w:r>
              <w:rPr>
                <w:rFonts w:ascii="Times New Roman" w:hAnsi="Times New Roman"/>
                <w:color w:val="000000" w:themeColor="text1"/>
                <w:sz w:val="20"/>
              </w:rPr>
              <w:t>Associate assistant deputy secretary</w:t>
            </w:r>
          </w:p>
          <w:p w14:paraId="398EFE53" w14:textId="77777777" w:rsidR="008D3A79" w:rsidRPr="00F534EA" w:rsidRDefault="008D3A79" w:rsidP="00B07AC4">
            <w:pPr>
              <w:pStyle w:val="TBFL"/>
              <w:spacing w:line="240" w:lineRule="auto"/>
              <w:ind w:left="-90"/>
              <w:jc w:val="center"/>
              <w:rPr>
                <w:rFonts w:ascii="Times New Roman" w:hAnsi="Times New Roman"/>
                <w:color w:val="000000" w:themeColor="text1"/>
                <w:sz w:val="20"/>
              </w:rPr>
            </w:pPr>
            <w:r w:rsidRPr="00F534EA">
              <w:rPr>
                <w:rFonts w:ascii="Times New Roman" w:hAnsi="Times New Roman"/>
                <w:color w:val="000000" w:themeColor="text1"/>
                <w:sz w:val="20"/>
              </w:rPr>
              <w:t>III</w:t>
            </w:r>
          </w:p>
          <w:p w14:paraId="3DBF8C52" w14:textId="77777777" w:rsidR="008D3A79" w:rsidRPr="00F534EA" w:rsidRDefault="008D3A79" w:rsidP="00FB2251">
            <w:pPr>
              <w:pStyle w:val="TBFL"/>
              <w:numPr>
                <w:ilvl w:val="0"/>
                <w:numId w:val="1"/>
              </w:numPr>
              <w:spacing w:line="240" w:lineRule="auto"/>
              <w:ind w:left="545"/>
              <w:rPr>
                <w:rFonts w:ascii="Times New Roman" w:hAnsi="Times New Roman"/>
                <w:color w:val="000000" w:themeColor="text1"/>
                <w:sz w:val="20"/>
              </w:rPr>
            </w:pPr>
            <w:r w:rsidRPr="00F534EA">
              <w:rPr>
                <w:rFonts w:ascii="Times New Roman" w:hAnsi="Times New Roman"/>
                <w:color w:val="000000" w:themeColor="text1"/>
                <w:sz w:val="20"/>
              </w:rPr>
              <w:t>Undersecretary</w:t>
            </w:r>
          </w:p>
          <w:p w14:paraId="7876FB47" w14:textId="77777777" w:rsidR="008D3A79" w:rsidRPr="00F534EA" w:rsidRDefault="008D3A79" w:rsidP="00FB2251">
            <w:pPr>
              <w:pStyle w:val="TBFL"/>
              <w:numPr>
                <w:ilvl w:val="0"/>
                <w:numId w:val="1"/>
              </w:numPr>
              <w:spacing w:line="240" w:lineRule="auto"/>
              <w:ind w:left="545"/>
              <w:rPr>
                <w:rFonts w:ascii="Times New Roman" w:hAnsi="Times New Roman"/>
                <w:color w:val="000000" w:themeColor="text1"/>
                <w:sz w:val="20"/>
                <w:vertAlign w:val="superscript"/>
              </w:rPr>
            </w:pPr>
            <w:r w:rsidRPr="00F534EA">
              <w:rPr>
                <w:rFonts w:ascii="Times New Roman" w:hAnsi="Times New Roman"/>
                <w:color w:val="000000" w:themeColor="text1"/>
                <w:sz w:val="20"/>
              </w:rPr>
              <w:t>Chief of staff to the undersecretary</w:t>
            </w:r>
          </w:p>
          <w:p w14:paraId="0792DCAA" w14:textId="77777777" w:rsidR="008D3A79" w:rsidRPr="00F534EA" w:rsidRDefault="008D3A79" w:rsidP="00FB2251">
            <w:pPr>
              <w:pStyle w:val="TBFL"/>
              <w:numPr>
                <w:ilvl w:val="0"/>
                <w:numId w:val="1"/>
              </w:numPr>
              <w:spacing w:line="240" w:lineRule="auto"/>
              <w:ind w:left="545"/>
              <w:rPr>
                <w:rFonts w:ascii="Times New Roman" w:hAnsi="Times New Roman"/>
                <w:color w:val="000000" w:themeColor="text1"/>
                <w:sz w:val="20"/>
              </w:rPr>
            </w:pPr>
            <w:r w:rsidRPr="00F534EA">
              <w:rPr>
                <w:rFonts w:ascii="Times New Roman" w:hAnsi="Times New Roman"/>
                <w:color w:val="000000" w:themeColor="text1"/>
                <w:sz w:val="20"/>
              </w:rPr>
              <w:t>Deputy chief of staff to the undersecretary</w:t>
            </w:r>
          </w:p>
          <w:p w14:paraId="282821A1" w14:textId="77777777" w:rsidR="008D3A79" w:rsidRPr="00F534EA" w:rsidRDefault="008D3A79" w:rsidP="00FB2251">
            <w:pPr>
              <w:pStyle w:val="TBFL"/>
              <w:numPr>
                <w:ilvl w:val="0"/>
                <w:numId w:val="1"/>
              </w:numPr>
              <w:spacing w:line="240" w:lineRule="auto"/>
              <w:ind w:left="545"/>
              <w:rPr>
                <w:rFonts w:ascii="Times New Roman" w:hAnsi="Times New Roman"/>
                <w:color w:val="000000" w:themeColor="text1"/>
                <w:sz w:val="20"/>
              </w:rPr>
            </w:pPr>
            <w:r w:rsidRPr="00F534EA">
              <w:rPr>
                <w:rFonts w:ascii="Times New Roman" w:hAnsi="Times New Roman"/>
                <w:color w:val="000000" w:themeColor="text1"/>
                <w:sz w:val="20"/>
              </w:rPr>
              <w:t>Principal deputy undersecretary</w:t>
            </w:r>
          </w:p>
          <w:p w14:paraId="269ED5FC" w14:textId="77777777" w:rsidR="008D3A79" w:rsidRPr="00F534EA" w:rsidRDefault="008D3A79" w:rsidP="00FB2251">
            <w:pPr>
              <w:pStyle w:val="TBFL"/>
              <w:numPr>
                <w:ilvl w:val="0"/>
                <w:numId w:val="1"/>
              </w:numPr>
              <w:spacing w:line="240" w:lineRule="auto"/>
              <w:ind w:left="545"/>
              <w:rPr>
                <w:rFonts w:ascii="Times New Roman" w:hAnsi="Times New Roman"/>
                <w:color w:val="000000" w:themeColor="text1"/>
                <w:sz w:val="20"/>
              </w:rPr>
            </w:pPr>
            <w:r w:rsidRPr="00F534EA">
              <w:rPr>
                <w:rFonts w:ascii="Times New Roman" w:hAnsi="Times New Roman"/>
                <w:color w:val="000000" w:themeColor="text1"/>
                <w:sz w:val="20"/>
              </w:rPr>
              <w:t>Deputy undersecretary</w:t>
            </w:r>
          </w:p>
          <w:p w14:paraId="3683FCBD" w14:textId="77777777" w:rsidR="008D3A79" w:rsidRPr="00F534EA" w:rsidRDefault="008D3A79" w:rsidP="00FB2251">
            <w:pPr>
              <w:pStyle w:val="TBFL"/>
              <w:numPr>
                <w:ilvl w:val="0"/>
                <w:numId w:val="1"/>
              </w:numPr>
              <w:spacing w:line="240" w:lineRule="auto"/>
              <w:ind w:left="545"/>
              <w:rPr>
                <w:rFonts w:ascii="Times New Roman" w:hAnsi="Times New Roman"/>
                <w:color w:val="000000" w:themeColor="text1"/>
                <w:sz w:val="20"/>
              </w:rPr>
            </w:pPr>
            <w:r w:rsidRPr="00F534EA">
              <w:rPr>
                <w:rFonts w:ascii="Times New Roman" w:hAnsi="Times New Roman"/>
                <w:color w:val="000000" w:themeColor="text1"/>
                <w:sz w:val="20"/>
              </w:rPr>
              <w:t>Chief of staff to the deputy undersecretary</w:t>
            </w:r>
          </w:p>
          <w:p w14:paraId="0083B07C" w14:textId="77777777" w:rsidR="008D3A79" w:rsidRPr="00F534EA" w:rsidRDefault="008D3A79" w:rsidP="00FB2251">
            <w:pPr>
              <w:pStyle w:val="TBFL"/>
              <w:numPr>
                <w:ilvl w:val="0"/>
                <w:numId w:val="1"/>
              </w:numPr>
              <w:spacing w:line="240" w:lineRule="auto"/>
              <w:ind w:left="545"/>
              <w:rPr>
                <w:rFonts w:ascii="Times New Roman" w:hAnsi="Times New Roman"/>
                <w:color w:val="000000" w:themeColor="text1"/>
                <w:sz w:val="20"/>
              </w:rPr>
            </w:pPr>
            <w:r w:rsidRPr="00F534EA">
              <w:rPr>
                <w:rFonts w:ascii="Times New Roman" w:hAnsi="Times New Roman"/>
                <w:color w:val="000000" w:themeColor="text1"/>
                <w:sz w:val="20"/>
              </w:rPr>
              <w:t>Principal associate deputy undersecretary</w:t>
            </w:r>
          </w:p>
          <w:p w14:paraId="57164602" w14:textId="77777777" w:rsidR="008D3A79" w:rsidRPr="00F534EA" w:rsidRDefault="008D3A79" w:rsidP="00FB2251">
            <w:pPr>
              <w:pStyle w:val="TBFL"/>
              <w:numPr>
                <w:ilvl w:val="0"/>
                <w:numId w:val="1"/>
              </w:numPr>
              <w:spacing w:line="240" w:lineRule="auto"/>
              <w:ind w:left="545"/>
              <w:rPr>
                <w:rFonts w:ascii="Times New Roman" w:hAnsi="Times New Roman"/>
                <w:color w:val="000000" w:themeColor="text1"/>
                <w:sz w:val="20"/>
              </w:rPr>
            </w:pPr>
            <w:r w:rsidRPr="00F534EA">
              <w:rPr>
                <w:rFonts w:ascii="Times New Roman" w:hAnsi="Times New Roman"/>
                <w:color w:val="000000" w:themeColor="text1"/>
                <w:sz w:val="20"/>
              </w:rPr>
              <w:t>Associate deputy undersecretary</w:t>
            </w:r>
          </w:p>
          <w:p w14:paraId="0C88A714" w14:textId="77777777" w:rsidR="008D3A79" w:rsidRPr="00F534EA" w:rsidRDefault="008D3A79" w:rsidP="00FB2251">
            <w:pPr>
              <w:pStyle w:val="TBFL"/>
              <w:numPr>
                <w:ilvl w:val="0"/>
                <w:numId w:val="1"/>
              </w:numPr>
              <w:spacing w:line="240" w:lineRule="auto"/>
              <w:ind w:left="545"/>
              <w:rPr>
                <w:rFonts w:ascii="Times New Roman" w:hAnsi="Times New Roman"/>
                <w:color w:val="000000" w:themeColor="text1"/>
                <w:sz w:val="20"/>
              </w:rPr>
            </w:pPr>
            <w:r w:rsidRPr="00F534EA">
              <w:rPr>
                <w:rFonts w:ascii="Times New Roman" w:hAnsi="Times New Roman"/>
                <w:color w:val="000000" w:themeColor="text1"/>
                <w:sz w:val="20"/>
              </w:rPr>
              <w:t>Principal assistant deputy undersecretary</w:t>
            </w:r>
          </w:p>
          <w:p w14:paraId="717E5BDE" w14:textId="77777777" w:rsidR="008D3A79" w:rsidRPr="00F534EA" w:rsidRDefault="008D3A79" w:rsidP="00FB2251">
            <w:pPr>
              <w:pStyle w:val="TBFL"/>
              <w:numPr>
                <w:ilvl w:val="0"/>
                <w:numId w:val="1"/>
              </w:numPr>
              <w:spacing w:line="240" w:lineRule="auto"/>
              <w:ind w:left="545"/>
              <w:rPr>
                <w:rFonts w:ascii="Times New Roman" w:hAnsi="Times New Roman"/>
                <w:color w:val="000000" w:themeColor="text1"/>
                <w:sz w:val="20"/>
              </w:rPr>
            </w:pPr>
            <w:r w:rsidRPr="00F534EA">
              <w:rPr>
                <w:rFonts w:ascii="Times New Roman" w:hAnsi="Times New Roman"/>
                <w:color w:val="000000" w:themeColor="text1"/>
                <w:sz w:val="20"/>
              </w:rPr>
              <w:t>Assistant deputy undersecretary</w:t>
            </w:r>
          </w:p>
          <w:p w14:paraId="179736EE" w14:textId="77777777" w:rsidR="008D3A79" w:rsidRPr="00F534EA" w:rsidRDefault="008D3A79" w:rsidP="00FB2251">
            <w:pPr>
              <w:pStyle w:val="TBFL"/>
              <w:numPr>
                <w:ilvl w:val="0"/>
                <w:numId w:val="1"/>
              </w:numPr>
              <w:spacing w:line="240" w:lineRule="auto"/>
              <w:ind w:left="545"/>
              <w:rPr>
                <w:rFonts w:ascii="Times New Roman" w:hAnsi="Times New Roman"/>
                <w:color w:val="000000" w:themeColor="text1"/>
                <w:sz w:val="20"/>
              </w:rPr>
            </w:pPr>
            <w:r w:rsidRPr="00F534EA">
              <w:rPr>
                <w:rFonts w:ascii="Times New Roman" w:hAnsi="Times New Roman"/>
                <w:color w:val="000000" w:themeColor="text1"/>
                <w:sz w:val="20"/>
              </w:rPr>
              <w:t>Deputy assistant deputy undersecretary</w:t>
            </w:r>
          </w:p>
          <w:p w14:paraId="1F2315DD" w14:textId="77777777" w:rsidR="008D3A79" w:rsidRPr="00F534EA" w:rsidRDefault="008D3A79" w:rsidP="00FB2251">
            <w:pPr>
              <w:pStyle w:val="TBFL"/>
              <w:numPr>
                <w:ilvl w:val="0"/>
                <w:numId w:val="1"/>
              </w:numPr>
              <w:spacing w:line="240" w:lineRule="auto"/>
              <w:ind w:left="545"/>
              <w:rPr>
                <w:rFonts w:ascii="Times New Roman" w:hAnsi="Times New Roman"/>
                <w:color w:val="000000" w:themeColor="text1"/>
                <w:sz w:val="20"/>
              </w:rPr>
            </w:pPr>
            <w:r w:rsidRPr="00F534EA">
              <w:rPr>
                <w:rFonts w:ascii="Times New Roman" w:hAnsi="Times New Roman"/>
                <w:color w:val="000000" w:themeColor="text1"/>
                <w:sz w:val="20"/>
              </w:rPr>
              <w:t>Associate undersecretary</w:t>
            </w:r>
          </w:p>
          <w:p w14:paraId="200A8B1D" w14:textId="77777777" w:rsidR="008D3A79" w:rsidRPr="00F534EA" w:rsidRDefault="008D3A79" w:rsidP="00FB2251">
            <w:pPr>
              <w:pStyle w:val="TBFL"/>
              <w:numPr>
                <w:ilvl w:val="0"/>
                <w:numId w:val="1"/>
              </w:numPr>
              <w:spacing w:line="240" w:lineRule="auto"/>
              <w:ind w:left="545"/>
              <w:rPr>
                <w:rFonts w:ascii="Times New Roman" w:hAnsi="Times New Roman"/>
                <w:color w:val="000000" w:themeColor="text1"/>
                <w:sz w:val="20"/>
              </w:rPr>
            </w:pPr>
            <w:r w:rsidRPr="00F534EA">
              <w:rPr>
                <w:rFonts w:ascii="Times New Roman" w:hAnsi="Times New Roman"/>
                <w:color w:val="000000" w:themeColor="text1"/>
                <w:sz w:val="20"/>
              </w:rPr>
              <w:t>Assistant undersecretary</w:t>
            </w:r>
          </w:p>
          <w:p w14:paraId="4F87AA7B" w14:textId="77777777" w:rsidR="008D3A79" w:rsidRPr="00F534EA" w:rsidRDefault="008D3A79" w:rsidP="00FB2251">
            <w:pPr>
              <w:pStyle w:val="TBFL"/>
              <w:spacing w:line="240" w:lineRule="auto"/>
              <w:ind w:left="545"/>
              <w:rPr>
                <w:rFonts w:ascii="Times New Roman" w:hAnsi="Times New Roman"/>
                <w:color w:val="000000" w:themeColor="text1"/>
                <w:sz w:val="20"/>
              </w:rPr>
            </w:pPr>
          </w:p>
        </w:tc>
        <w:tc>
          <w:tcPr>
            <w:tcW w:w="2880" w:type="dxa"/>
          </w:tcPr>
          <w:p w14:paraId="22A40D72" w14:textId="77777777" w:rsidR="008D3A79" w:rsidRPr="00F534EA" w:rsidRDefault="008D3A79" w:rsidP="00B07AC4">
            <w:pPr>
              <w:pStyle w:val="TBFL"/>
              <w:spacing w:line="240" w:lineRule="auto"/>
              <w:jc w:val="center"/>
              <w:rPr>
                <w:rFonts w:ascii="Times New Roman" w:hAnsi="Times New Roman"/>
                <w:color w:val="000000" w:themeColor="text1"/>
                <w:sz w:val="20"/>
              </w:rPr>
            </w:pPr>
            <w:r w:rsidRPr="00F534EA">
              <w:rPr>
                <w:rFonts w:ascii="Times New Roman" w:hAnsi="Times New Roman"/>
                <w:color w:val="000000" w:themeColor="text1"/>
                <w:sz w:val="20"/>
              </w:rPr>
              <w:lastRenderedPageBreak/>
              <w:t>IV</w:t>
            </w:r>
          </w:p>
          <w:p w14:paraId="0AA4A350" w14:textId="5297F753" w:rsidR="008D3A79" w:rsidRPr="00F534EA" w:rsidRDefault="008D3A79" w:rsidP="00FB2251">
            <w:pPr>
              <w:pStyle w:val="TBFL"/>
              <w:numPr>
                <w:ilvl w:val="0"/>
                <w:numId w:val="1"/>
              </w:numPr>
              <w:spacing w:line="240" w:lineRule="auto"/>
              <w:ind w:left="512"/>
              <w:rPr>
                <w:rFonts w:ascii="Times New Roman" w:hAnsi="Times New Roman"/>
                <w:color w:val="000000" w:themeColor="text1"/>
                <w:sz w:val="20"/>
              </w:rPr>
            </w:pPr>
            <w:r w:rsidRPr="00F534EA">
              <w:rPr>
                <w:rFonts w:ascii="Times New Roman" w:hAnsi="Times New Roman"/>
                <w:color w:val="000000" w:themeColor="text1"/>
                <w:sz w:val="20"/>
              </w:rPr>
              <w:t>Assistant secretary</w:t>
            </w:r>
            <w:r w:rsidR="00862419">
              <w:rPr>
                <w:rFonts w:ascii="Times New Roman" w:hAnsi="Times New Roman"/>
                <w:color w:val="000000" w:themeColor="text1"/>
                <w:sz w:val="20"/>
              </w:rPr>
              <w:t xml:space="preserve"> (or Inspector General, General Counsel, etc.)</w:t>
            </w:r>
          </w:p>
          <w:p w14:paraId="6919DFD2" w14:textId="77777777" w:rsidR="008D3A79" w:rsidRPr="00F534EA" w:rsidRDefault="008D3A79" w:rsidP="00FB2251">
            <w:pPr>
              <w:pStyle w:val="TBFL"/>
              <w:numPr>
                <w:ilvl w:val="0"/>
                <w:numId w:val="1"/>
              </w:numPr>
              <w:spacing w:line="240" w:lineRule="auto"/>
              <w:ind w:left="512"/>
              <w:rPr>
                <w:rFonts w:ascii="Times New Roman" w:hAnsi="Times New Roman"/>
                <w:color w:val="000000" w:themeColor="text1"/>
                <w:sz w:val="20"/>
              </w:rPr>
            </w:pPr>
            <w:r w:rsidRPr="00F534EA">
              <w:rPr>
                <w:rFonts w:ascii="Times New Roman" w:hAnsi="Times New Roman"/>
                <w:color w:val="000000" w:themeColor="text1"/>
                <w:sz w:val="20"/>
              </w:rPr>
              <w:t>Chief of staff to the assistant secretary</w:t>
            </w:r>
          </w:p>
          <w:p w14:paraId="20AC5821" w14:textId="77777777" w:rsidR="008D3A79" w:rsidRPr="00F534EA" w:rsidRDefault="008D3A79" w:rsidP="00FB2251">
            <w:pPr>
              <w:pStyle w:val="TBFL"/>
              <w:numPr>
                <w:ilvl w:val="0"/>
                <w:numId w:val="1"/>
              </w:numPr>
              <w:spacing w:line="240" w:lineRule="auto"/>
              <w:ind w:left="512"/>
              <w:rPr>
                <w:rFonts w:ascii="Times New Roman" w:hAnsi="Times New Roman"/>
                <w:color w:val="000000" w:themeColor="text1"/>
                <w:sz w:val="20"/>
              </w:rPr>
            </w:pPr>
            <w:r w:rsidRPr="00F534EA">
              <w:rPr>
                <w:rFonts w:ascii="Times New Roman" w:hAnsi="Times New Roman"/>
                <w:color w:val="000000" w:themeColor="text1"/>
                <w:sz w:val="20"/>
              </w:rPr>
              <w:t>Deputy chief of staff to the assistant secretary</w:t>
            </w:r>
          </w:p>
          <w:p w14:paraId="0EBD9F7E" w14:textId="77777777" w:rsidR="008D3A79" w:rsidRPr="00F534EA" w:rsidRDefault="008D3A79" w:rsidP="00FB2251">
            <w:pPr>
              <w:pStyle w:val="TBFL"/>
              <w:numPr>
                <w:ilvl w:val="0"/>
                <w:numId w:val="1"/>
              </w:numPr>
              <w:spacing w:line="240" w:lineRule="auto"/>
              <w:ind w:left="512"/>
              <w:rPr>
                <w:rFonts w:ascii="Times New Roman" w:hAnsi="Times New Roman"/>
                <w:color w:val="000000" w:themeColor="text1"/>
                <w:sz w:val="20"/>
              </w:rPr>
            </w:pPr>
            <w:r w:rsidRPr="00F534EA">
              <w:rPr>
                <w:rFonts w:ascii="Times New Roman" w:hAnsi="Times New Roman"/>
                <w:color w:val="000000" w:themeColor="text1"/>
                <w:sz w:val="20"/>
              </w:rPr>
              <w:t>Principal deputy assistant secretary</w:t>
            </w:r>
          </w:p>
          <w:p w14:paraId="1B9C4C6A" w14:textId="77777777" w:rsidR="008D3A79" w:rsidRPr="00F534EA" w:rsidRDefault="008D3A79" w:rsidP="00FB2251">
            <w:pPr>
              <w:pStyle w:val="TBFL"/>
              <w:numPr>
                <w:ilvl w:val="0"/>
                <w:numId w:val="1"/>
              </w:numPr>
              <w:spacing w:line="240" w:lineRule="auto"/>
              <w:ind w:left="512"/>
              <w:rPr>
                <w:rFonts w:ascii="Times New Roman" w:hAnsi="Times New Roman"/>
                <w:color w:val="000000" w:themeColor="text1"/>
                <w:sz w:val="20"/>
              </w:rPr>
            </w:pPr>
            <w:r w:rsidRPr="00F534EA">
              <w:rPr>
                <w:rFonts w:ascii="Times New Roman" w:hAnsi="Times New Roman"/>
                <w:color w:val="000000" w:themeColor="text1"/>
                <w:sz w:val="20"/>
              </w:rPr>
              <w:t>Associate principal deputy assistant secretary</w:t>
            </w:r>
          </w:p>
          <w:p w14:paraId="562C355B" w14:textId="77777777" w:rsidR="008D3A79" w:rsidRPr="00F534EA" w:rsidRDefault="008D3A79" w:rsidP="00FB2251">
            <w:pPr>
              <w:pStyle w:val="TBFL"/>
              <w:numPr>
                <w:ilvl w:val="0"/>
                <w:numId w:val="1"/>
              </w:numPr>
              <w:spacing w:line="240" w:lineRule="auto"/>
              <w:ind w:left="512"/>
              <w:rPr>
                <w:rFonts w:ascii="Times New Roman" w:hAnsi="Times New Roman"/>
                <w:color w:val="000000" w:themeColor="text1"/>
                <w:sz w:val="20"/>
              </w:rPr>
            </w:pPr>
            <w:r w:rsidRPr="00F534EA">
              <w:rPr>
                <w:rFonts w:ascii="Times New Roman" w:hAnsi="Times New Roman"/>
                <w:color w:val="000000" w:themeColor="text1"/>
                <w:sz w:val="20"/>
              </w:rPr>
              <w:lastRenderedPageBreak/>
              <w:t>Deputy assistant secretary</w:t>
            </w:r>
          </w:p>
          <w:p w14:paraId="7907BC65" w14:textId="77777777" w:rsidR="008D3A79" w:rsidRPr="00F534EA" w:rsidRDefault="008D3A79" w:rsidP="00FB2251">
            <w:pPr>
              <w:pStyle w:val="TBFL"/>
              <w:numPr>
                <w:ilvl w:val="0"/>
                <w:numId w:val="1"/>
              </w:numPr>
              <w:spacing w:line="240" w:lineRule="auto"/>
              <w:ind w:left="512"/>
              <w:rPr>
                <w:rFonts w:ascii="Times New Roman" w:hAnsi="Times New Roman"/>
                <w:color w:val="000000" w:themeColor="text1"/>
                <w:sz w:val="20"/>
              </w:rPr>
            </w:pPr>
            <w:r w:rsidRPr="00F534EA">
              <w:rPr>
                <w:rFonts w:ascii="Times New Roman" w:hAnsi="Times New Roman"/>
                <w:color w:val="000000" w:themeColor="text1"/>
                <w:sz w:val="20"/>
              </w:rPr>
              <w:t>Chief of staff to the deputy assistant secretary</w:t>
            </w:r>
          </w:p>
          <w:p w14:paraId="38D374D0" w14:textId="14598353" w:rsidR="008D3A79" w:rsidRPr="00F534EA" w:rsidRDefault="008D3A79" w:rsidP="00FB2251">
            <w:pPr>
              <w:pStyle w:val="TBFL"/>
              <w:numPr>
                <w:ilvl w:val="0"/>
                <w:numId w:val="1"/>
              </w:numPr>
              <w:spacing w:line="240" w:lineRule="auto"/>
              <w:ind w:left="512"/>
              <w:rPr>
                <w:rFonts w:ascii="Times New Roman" w:hAnsi="Times New Roman"/>
                <w:color w:val="000000" w:themeColor="text1"/>
                <w:sz w:val="20"/>
              </w:rPr>
            </w:pPr>
            <w:r w:rsidRPr="00F534EA">
              <w:rPr>
                <w:rFonts w:ascii="Times New Roman" w:hAnsi="Times New Roman"/>
                <w:color w:val="000000" w:themeColor="text1"/>
                <w:sz w:val="20"/>
              </w:rPr>
              <w:t xml:space="preserve">Principal deputy </w:t>
            </w:r>
            <w:r w:rsidR="00006EC2">
              <w:rPr>
                <w:rFonts w:ascii="Times New Roman" w:hAnsi="Times New Roman"/>
                <w:color w:val="000000" w:themeColor="text1"/>
                <w:sz w:val="20"/>
              </w:rPr>
              <w:t xml:space="preserve">to the </w:t>
            </w:r>
            <w:r w:rsidRPr="00F534EA">
              <w:rPr>
                <w:rFonts w:ascii="Times New Roman" w:hAnsi="Times New Roman"/>
                <w:color w:val="000000" w:themeColor="text1"/>
                <w:sz w:val="20"/>
              </w:rPr>
              <w:t>deputy assistant secretary</w:t>
            </w:r>
          </w:p>
          <w:p w14:paraId="23352ECC" w14:textId="0922D45F" w:rsidR="008D3A79" w:rsidRPr="00F534EA" w:rsidRDefault="008D3A79" w:rsidP="00FB2251">
            <w:pPr>
              <w:pStyle w:val="TBFL"/>
              <w:numPr>
                <w:ilvl w:val="0"/>
                <w:numId w:val="1"/>
              </w:numPr>
              <w:spacing w:line="240" w:lineRule="auto"/>
              <w:ind w:left="512"/>
              <w:rPr>
                <w:rFonts w:ascii="Times New Roman" w:hAnsi="Times New Roman"/>
                <w:color w:val="000000" w:themeColor="text1"/>
                <w:sz w:val="20"/>
              </w:rPr>
            </w:pPr>
            <w:r w:rsidRPr="00F534EA">
              <w:rPr>
                <w:rFonts w:ascii="Times New Roman" w:hAnsi="Times New Roman"/>
                <w:color w:val="000000" w:themeColor="text1"/>
                <w:sz w:val="20"/>
              </w:rPr>
              <w:t xml:space="preserve">Deputy </w:t>
            </w:r>
            <w:r w:rsidR="00F9035C">
              <w:rPr>
                <w:rFonts w:ascii="Times New Roman" w:hAnsi="Times New Roman"/>
                <w:color w:val="000000" w:themeColor="text1"/>
                <w:sz w:val="20"/>
              </w:rPr>
              <w:t xml:space="preserve">to the </w:t>
            </w:r>
            <w:r w:rsidRPr="00F534EA">
              <w:rPr>
                <w:rFonts w:ascii="Times New Roman" w:hAnsi="Times New Roman"/>
                <w:color w:val="000000" w:themeColor="text1"/>
                <w:sz w:val="20"/>
              </w:rPr>
              <w:t>deputy assistant secretary</w:t>
            </w:r>
          </w:p>
          <w:p w14:paraId="4A511CC7" w14:textId="77777777" w:rsidR="008D3A79" w:rsidRPr="00F534EA" w:rsidRDefault="008D3A79" w:rsidP="00FB2251">
            <w:pPr>
              <w:pStyle w:val="TBFL"/>
              <w:numPr>
                <w:ilvl w:val="0"/>
                <w:numId w:val="1"/>
              </w:numPr>
              <w:spacing w:line="240" w:lineRule="auto"/>
              <w:ind w:left="512"/>
              <w:rPr>
                <w:rFonts w:ascii="Times New Roman" w:hAnsi="Times New Roman"/>
                <w:color w:val="000000" w:themeColor="text1"/>
                <w:sz w:val="20"/>
              </w:rPr>
            </w:pPr>
            <w:r w:rsidRPr="00F534EA">
              <w:rPr>
                <w:rFonts w:ascii="Times New Roman" w:hAnsi="Times New Roman"/>
                <w:color w:val="000000" w:themeColor="text1"/>
                <w:sz w:val="20"/>
              </w:rPr>
              <w:t>Associate deputy assistant secretary</w:t>
            </w:r>
          </w:p>
          <w:p w14:paraId="24C9E1E0" w14:textId="77777777" w:rsidR="008D3A79" w:rsidRPr="00F534EA" w:rsidRDefault="008D3A79" w:rsidP="00FB2251">
            <w:pPr>
              <w:pStyle w:val="TBFL"/>
              <w:numPr>
                <w:ilvl w:val="0"/>
                <w:numId w:val="1"/>
              </w:numPr>
              <w:spacing w:line="240" w:lineRule="auto"/>
              <w:ind w:left="512"/>
              <w:rPr>
                <w:rFonts w:ascii="Times New Roman" w:hAnsi="Times New Roman"/>
                <w:color w:val="000000" w:themeColor="text1"/>
                <w:sz w:val="20"/>
              </w:rPr>
            </w:pPr>
            <w:r w:rsidRPr="00F534EA">
              <w:rPr>
                <w:rFonts w:ascii="Times New Roman" w:hAnsi="Times New Roman"/>
                <w:color w:val="000000" w:themeColor="text1"/>
                <w:sz w:val="20"/>
              </w:rPr>
              <w:t>Deputy associate deputy assistant secretary</w:t>
            </w:r>
          </w:p>
          <w:p w14:paraId="6FEB1135" w14:textId="77777777" w:rsidR="008D3A79" w:rsidRPr="00F534EA" w:rsidRDefault="008D3A79" w:rsidP="00FB2251">
            <w:pPr>
              <w:pStyle w:val="TBFL"/>
              <w:numPr>
                <w:ilvl w:val="0"/>
                <w:numId w:val="1"/>
              </w:numPr>
              <w:spacing w:line="240" w:lineRule="auto"/>
              <w:ind w:left="512"/>
              <w:rPr>
                <w:rFonts w:ascii="Times New Roman" w:hAnsi="Times New Roman"/>
                <w:color w:val="000000" w:themeColor="text1"/>
                <w:sz w:val="20"/>
              </w:rPr>
            </w:pPr>
            <w:r w:rsidRPr="00F534EA">
              <w:rPr>
                <w:rFonts w:ascii="Times New Roman" w:hAnsi="Times New Roman"/>
                <w:color w:val="000000" w:themeColor="text1"/>
                <w:sz w:val="20"/>
              </w:rPr>
              <w:t>Chief of staff to the associate deputy assistant secretary</w:t>
            </w:r>
          </w:p>
          <w:p w14:paraId="28001F5B" w14:textId="77777777" w:rsidR="008D3A79" w:rsidRPr="00F534EA" w:rsidRDefault="008D3A79" w:rsidP="00FB2251">
            <w:pPr>
              <w:pStyle w:val="TBFL"/>
              <w:numPr>
                <w:ilvl w:val="0"/>
                <w:numId w:val="1"/>
              </w:numPr>
              <w:spacing w:line="240" w:lineRule="auto"/>
              <w:ind w:left="512"/>
              <w:rPr>
                <w:rFonts w:ascii="Times New Roman" w:hAnsi="Times New Roman"/>
                <w:color w:val="000000" w:themeColor="text1"/>
                <w:sz w:val="20"/>
              </w:rPr>
            </w:pPr>
            <w:r w:rsidRPr="00F534EA">
              <w:rPr>
                <w:rFonts w:ascii="Times New Roman" w:hAnsi="Times New Roman"/>
                <w:color w:val="000000" w:themeColor="text1"/>
                <w:sz w:val="20"/>
              </w:rPr>
              <w:t>Deputy associate assistant secretary</w:t>
            </w:r>
          </w:p>
          <w:p w14:paraId="27BFBEB3" w14:textId="77777777" w:rsidR="008D3A79" w:rsidRPr="00F534EA" w:rsidRDefault="008D3A79" w:rsidP="00FB2251">
            <w:pPr>
              <w:pStyle w:val="TBFL"/>
              <w:numPr>
                <w:ilvl w:val="0"/>
                <w:numId w:val="1"/>
              </w:numPr>
              <w:spacing w:line="240" w:lineRule="auto"/>
              <w:ind w:left="512"/>
              <w:rPr>
                <w:rFonts w:ascii="Times New Roman" w:hAnsi="Times New Roman"/>
                <w:color w:val="000000" w:themeColor="text1"/>
                <w:sz w:val="20"/>
              </w:rPr>
            </w:pPr>
            <w:r w:rsidRPr="00F534EA">
              <w:rPr>
                <w:rFonts w:ascii="Times New Roman" w:hAnsi="Times New Roman"/>
                <w:color w:val="000000" w:themeColor="text1"/>
                <w:sz w:val="20"/>
              </w:rPr>
              <w:t>Assistant deputy assistant secretary</w:t>
            </w:r>
          </w:p>
          <w:p w14:paraId="0203AE4D" w14:textId="77777777" w:rsidR="008D3A79" w:rsidRPr="00F534EA" w:rsidRDefault="008D3A79" w:rsidP="00FB2251">
            <w:pPr>
              <w:pStyle w:val="TBFL"/>
              <w:numPr>
                <w:ilvl w:val="0"/>
                <w:numId w:val="1"/>
              </w:numPr>
              <w:spacing w:line="240" w:lineRule="auto"/>
              <w:ind w:left="512"/>
              <w:rPr>
                <w:rFonts w:ascii="Times New Roman" w:hAnsi="Times New Roman"/>
                <w:color w:val="000000" w:themeColor="text1"/>
                <w:sz w:val="20"/>
              </w:rPr>
            </w:pPr>
            <w:r w:rsidRPr="00F534EA">
              <w:rPr>
                <w:rFonts w:ascii="Times New Roman" w:hAnsi="Times New Roman"/>
                <w:color w:val="000000" w:themeColor="text1"/>
                <w:sz w:val="20"/>
              </w:rPr>
              <w:t>Principal associate assistant secretary</w:t>
            </w:r>
          </w:p>
          <w:p w14:paraId="62426835" w14:textId="77777777" w:rsidR="008D3A79" w:rsidRPr="00F534EA" w:rsidRDefault="008D3A79" w:rsidP="00FB2251">
            <w:pPr>
              <w:pStyle w:val="TBFL"/>
              <w:numPr>
                <w:ilvl w:val="0"/>
                <w:numId w:val="1"/>
              </w:numPr>
              <w:spacing w:line="240" w:lineRule="auto"/>
              <w:ind w:left="512"/>
              <w:rPr>
                <w:rFonts w:ascii="Times New Roman" w:hAnsi="Times New Roman"/>
                <w:color w:val="000000" w:themeColor="text1"/>
                <w:sz w:val="20"/>
              </w:rPr>
            </w:pPr>
            <w:r w:rsidRPr="00F534EA">
              <w:rPr>
                <w:rFonts w:ascii="Times New Roman" w:hAnsi="Times New Roman"/>
                <w:color w:val="000000" w:themeColor="text1"/>
                <w:sz w:val="20"/>
              </w:rPr>
              <w:t>Associate assistant secretary</w:t>
            </w:r>
          </w:p>
          <w:p w14:paraId="28A4A7DA" w14:textId="77777777" w:rsidR="008D3A79" w:rsidRPr="00F534EA" w:rsidRDefault="008D3A79" w:rsidP="00FB2251">
            <w:pPr>
              <w:pStyle w:val="TBFL"/>
              <w:numPr>
                <w:ilvl w:val="0"/>
                <w:numId w:val="1"/>
              </w:numPr>
              <w:spacing w:line="240" w:lineRule="auto"/>
              <w:ind w:left="512"/>
              <w:rPr>
                <w:rFonts w:ascii="Times New Roman" w:hAnsi="Times New Roman"/>
                <w:color w:val="000000" w:themeColor="text1"/>
                <w:sz w:val="20"/>
              </w:rPr>
            </w:pPr>
            <w:r w:rsidRPr="00F534EA">
              <w:rPr>
                <w:rFonts w:ascii="Times New Roman" w:hAnsi="Times New Roman"/>
                <w:color w:val="000000" w:themeColor="text1"/>
                <w:sz w:val="20"/>
              </w:rPr>
              <w:t>Chief of staff to the associate assistant secretary</w:t>
            </w:r>
          </w:p>
          <w:p w14:paraId="4FC82492" w14:textId="77777777" w:rsidR="008D3A79" w:rsidRPr="00F534EA" w:rsidRDefault="008D3A79" w:rsidP="00FB2251">
            <w:pPr>
              <w:pStyle w:val="TBFL"/>
              <w:numPr>
                <w:ilvl w:val="0"/>
                <w:numId w:val="1"/>
              </w:numPr>
              <w:spacing w:line="240" w:lineRule="auto"/>
              <w:ind w:left="512"/>
              <w:rPr>
                <w:rFonts w:ascii="Times New Roman" w:hAnsi="Times New Roman"/>
                <w:color w:val="000000" w:themeColor="text1"/>
                <w:sz w:val="20"/>
              </w:rPr>
            </w:pPr>
            <w:r w:rsidRPr="00F534EA">
              <w:rPr>
                <w:rFonts w:ascii="Times New Roman" w:hAnsi="Times New Roman"/>
                <w:color w:val="000000" w:themeColor="text1"/>
                <w:sz w:val="20"/>
              </w:rPr>
              <w:t>Deputy associate assistant secretary</w:t>
            </w:r>
          </w:p>
          <w:p w14:paraId="4C2FCEBA" w14:textId="77777777" w:rsidR="008D3A79" w:rsidRPr="00F534EA" w:rsidRDefault="008D3A79" w:rsidP="00FB2251">
            <w:pPr>
              <w:pStyle w:val="TBFL"/>
              <w:numPr>
                <w:ilvl w:val="0"/>
                <w:numId w:val="1"/>
              </w:numPr>
              <w:spacing w:line="240" w:lineRule="auto"/>
              <w:ind w:left="512"/>
              <w:rPr>
                <w:rFonts w:ascii="Times New Roman" w:hAnsi="Times New Roman"/>
                <w:color w:val="000000" w:themeColor="text1"/>
                <w:sz w:val="20"/>
              </w:rPr>
            </w:pPr>
            <w:r w:rsidRPr="00F534EA">
              <w:rPr>
                <w:rFonts w:ascii="Times New Roman" w:hAnsi="Times New Roman"/>
                <w:color w:val="000000" w:themeColor="text1"/>
                <w:sz w:val="20"/>
              </w:rPr>
              <w:t>Principal assistant assistant secretary</w:t>
            </w:r>
          </w:p>
          <w:p w14:paraId="611A9FAB" w14:textId="77777777" w:rsidR="008D3A79" w:rsidRPr="00F534EA" w:rsidRDefault="008D3A79" w:rsidP="00FB2251">
            <w:pPr>
              <w:pStyle w:val="TBFL"/>
              <w:numPr>
                <w:ilvl w:val="0"/>
                <w:numId w:val="1"/>
              </w:numPr>
              <w:spacing w:line="240" w:lineRule="auto"/>
              <w:ind w:left="512"/>
              <w:rPr>
                <w:rFonts w:ascii="Times New Roman" w:hAnsi="Times New Roman"/>
                <w:color w:val="000000" w:themeColor="text1"/>
                <w:sz w:val="20"/>
              </w:rPr>
            </w:pPr>
            <w:r w:rsidRPr="00F534EA">
              <w:rPr>
                <w:rFonts w:ascii="Times New Roman" w:hAnsi="Times New Roman"/>
                <w:color w:val="000000" w:themeColor="text1"/>
                <w:sz w:val="20"/>
              </w:rPr>
              <w:t>Assistant assistant secretary</w:t>
            </w:r>
          </w:p>
          <w:p w14:paraId="556C44C0" w14:textId="77777777" w:rsidR="008D3A79" w:rsidRPr="00F534EA" w:rsidRDefault="008D3A79" w:rsidP="00FB2251">
            <w:pPr>
              <w:pStyle w:val="TBFL"/>
              <w:numPr>
                <w:ilvl w:val="0"/>
                <w:numId w:val="1"/>
              </w:numPr>
              <w:spacing w:line="240" w:lineRule="auto"/>
              <w:ind w:left="512"/>
              <w:rPr>
                <w:rFonts w:ascii="Times New Roman" w:hAnsi="Times New Roman"/>
                <w:color w:val="000000" w:themeColor="text1"/>
                <w:sz w:val="20"/>
              </w:rPr>
            </w:pPr>
            <w:r w:rsidRPr="00F534EA">
              <w:rPr>
                <w:rFonts w:ascii="Times New Roman" w:hAnsi="Times New Roman"/>
                <w:color w:val="000000" w:themeColor="text1"/>
                <w:sz w:val="20"/>
              </w:rPr>
              <w:t>Chief of staff to the assistant assistant secretary</w:t>
            </w:r>
          </w:p>
          <w:p w14:paraId="35966D97" w14:textId="77777777" w:rsidR="008D3A79" w:rsidRPr="00F534EA" w:rsidRDefault="008D3A79" w:rsidP="00FB2251">
            <w:pPr>
              <w:pStyle w:val="TBFL"/>
              <w:numPr>
                <w:ilvl w:val="0"/>
                <w:numId w:val="1"/>
              </w:numPr>
              <w:spacing w:line="240" w:lineRule="auto"/>
              <w:ind w:left="512"/>
              <w:rPr>
                <w:rFonts w:ascii="Times New Roman" w:hAnsi="Times New Roman"/>
                <w:color w:val="000000" w:themeColor="text1"/>
                <w:sz w:val="20"/>
              </w:rPr>
            </w:pPr>
            <w:r w:rsidRPr="00F534EA">
              <w:rPr>
                <w:rFonts w:ascii="Times New Roman" w:hAnsi="Times New Roman"/>
                <w:color w:val="000000" w:themeColor="text1"/>
                <w:sz w:val="20"/>
              </w:rPr>
              <w:t>Deputy assistant assistant secretary</w:t>
            </w:r>
          </w:p>
        </w:tc>
        <w:tc>
          <w:tcPr>
            <w:tcW w:w="2880" w:type="dxa"/>
          </w:tcPr>
          <w:p w14:paraId="66F70CA6" w14:textId="77777777" w:rsidR="008D3A79" w:rsidRPr="00F534EA" w:rsidRDefault="008D3A79" w:rsidP="00B07AC4">
            <w:pPr>
              <w:pStyle w:val="TBFL"/>
              <w:spacing w:line="240" w:lineRule="auto"/>
              <w:jc w:val="center"/>
              <w:rPr>
                <w:rFonts w:ascii="Times New Roman" w:hAnsi="Times New Roman"/>
                <w:color w:val="000000" w:themeColor="text1"/>
                <w:sz w:val="20"/>
              </w:rPr>
            </w:pPr>
            <w:r w:rsidRPr="00F534EA">
              <w:rPr>
                <w:rFonts w:ascii="Times New Roman" w:hAnsi="Times New Roman"/>
                <w:color w:val="000000" w:themeColor="text1"/>
                <w:sz w:val="20"/>
              </w:rPr>
              <w:lastRenderedPageBreak/>
              <w:t>V</w:t>
            </w:r>
          </w:p>
          <w:p w14:paraId="2EAD317E" w14:textId="77777777" w:rsidR="008D3A79" w:rsidRPr="00F534EA" w:rsidRDefault="008D3A79" w:rsidP="00FB2251">
            <w:pPr>
              <w:pStyle w:val="TBFL"/>
              <w:numPr>
                <w:ilvl w:val="0"/>
                <w:numId w:val="1"/>
              </w:numPr>
              <w:spacing w:line="240" w:lineRule="auto"/>
              <w:ind w:left="559"/>
              <w:rPr>
                <w:rFonts w:ascii="Times New Roman" w:hAnsi="Times New Roman"/>
                <w:color w:val="000000" w:themeColor="text1"/>
                <w:sz w:val="20"/>
              </w:rPr>
            </w:pPr>
            <w:r w:rsidRPr="00F534EA">
              <w:rPr>
                <w:rFonts w:ascii="Times New Roman" w:hAnsi="Times New Roman"/>
                <w:color w:val="000000" w:themeColor="text1"/>
                <w:sz w:val="20"/>
              </w:rPr>
              <w:t>Administrator</w:t>
            </w:r>
          </w:p>
          <w:p w14:paraId="45508BE9" w14:textId="77777777" w:rsidR="008D3A79" w:rsidRPr="00F534EA" w:rsidRDefault="008D3A79" w:rsidP="00FB2251">
            <w:pPr>
              <w:pStyle w:val="TBFL"/>
              <w:numPr>
                <w:ilvl w:val="0"/>
                <w:numId w:val="1"/>
              </w:numPr>
              <w:spacing w:line="240" w:lineRule="auto"/>
              <w:ind w:left="559"/>
              <w:rPr>
                <w:rFonts w:ascii="Times New Roman" w:hAnsi="Times New Roman"/>
                <w:color w:val="000000" w:themeColor="text1"/>
                <w:sz w:val="20"/>
              </w:rPr>
            </w:pPr>
            <w:r w:rsidRPr="00F534EA">
              <w:rPr>
                <w:rFonts w:ascii="Times New Roman" w:hAnsi="Times New Roman"/>
                <w:color w:val="000000" w:themeColor="text1"/>
                <w:sz w:val="20"/>
              </w:rPr>
              <w:t>Chief of staff to the administrator</w:t>
            </w:r>
          </w:p>
          <w:p w14:paraId="3E143B04" w14:textId="77777777" w:rsidR="008D3A79" w:rsidRPr="00F534EA" w:rsidRDefault="008D3A79" w:rsidP="00FB2251">
            <w:pPr>
              <w:pStyle w:val="TBFL"/>
              <w:numPr>
                <w:ilvl w:val="0"/>
                <w:numId w:val="1"/>
              </w:numPr>
              <w:spacing w:line="240" w:lineRule="auto"/>
              <w:ind w:left="559"/>
              <w:rPr>
                <w:rFonts w:ascii="Times New Roman" w:hAnsi="Times New Roman"/>
                <w:color w:val="000000" w:themeColor="text1"/>
                <w:sz w:val="20"/>
              </w:rPr>
            </w:pPr>
            <w:r w:rsidRPr="00F534EA">
              <w:rPr>
                <w:rFonts w:ascii="Times New Roman" w:hAnsi="Times New Roman"/>
                <w:color w:val="000000" w:themeColor="text1"/>
                <w:sz w:val="20"/>
              </w:rPr>
              <w:t>Assistant chief of staff to the administrator</w:t>
            </w:r>
          </w:p>
          <w:p w14:paraId="2928EC56" w14:textId="77777777" w:rsidR="008D3A79" w:rsidRPr="00F534EA" w:rsidRDefault="008D3A79" w:rsidP="00FB2251">
            <w:pPr>
              <w:pStyle w:val="TBFL"/>
              <w:numPr>
                <w:ilvl w:val="0"/>
                <w:numId w:val="1"/>
              </w:numPr>
              <w:spacing w:line="240" w:lineRule="auto"/>
              <w:ind w:left="559"/>
              <w:rPr>
                <w:rFonts w:ascii="Times New Roman" w:hAnsi="Times New Roman"/>
                <w:color w:val="000000" w:themeColor="text1"/>
                <w:sz w:val="20"/>
              </w:rPr>
            </w:pPr>
            <w:r w:rsidRPr="00F534EA">
              <w:rPr>
                <w:rFonts w:ascii="Times New Roman" w:hAnsi="Times New Roman"/>
                <w:color w:val="000000" w:themeColor="text1"/>
                <w:sz w:val="20"/>
              </w:rPr>
              <w:t>Principal deputy administrator</w:t>
            </w:r>
          </w:p>
          <w:p w14:paraId="21FF5797" w14:textId="77777777" w:rsidR="008D3A79" w:rsidRPr="00F534EA" w:rsidRDefault="008D3A79" w:rsidP="00FB2251">
            <w:pPr>
              <w:pStyle w:val="TBFL"/>
              <w:numPr>
                <w:ilvl w:val="0"/>
                <w:numId w:val="1"/>
              </w:numPr>
              <w:spacing w:line="240" w:lineRule="auto"/>
              <w:ind w:left="559"/>
              <w:rPr>
                <w:rFonts w:ascii="Times New Roman" w:hAnsi="Times New Roman"/>
                <w:color w:val="000000" w:themeColor="text1"/>
                <w:sz w:val="20"/>
              </w:rPr>
            </w:pPr>
            <w:r w:rsidRPr="00F534EA">
              <w:rPr>
                <w:rFonts w:ascii="Times New Roman" w:hAnsi="Times New Roman"/>
                <w:color w:val="000000" w:themeColor="text1"/>
                <w:sz w:val="20"/>
              </w:rPr>
              <w:t>Deputy administrator</w:t>
            </w:r>
          </w:p>
          <w:p w14:paraId="5BD0061C" w14:textId="77777777" w:rsidR="008D3A79" w:rsidRPr="00F534EA" w:rsidRDefault="008D3A79" w:rsidP="00FB2251">
            <w:pPr>
              <w:pStyle w:val="TBFL"/>
              <w:numPr>
                <w:ilvl w:val="0"/>
                <w:numId w:val="1"/>
              </w:numPr>
              <w:spacing w:line="240" w:lineRule="auto"/>
              <w:ind w:left="559"/>
              <w:rPr>
                <w:rFonts w:ascii="Times New Roman" w:hAnsi="Times New Roman"/>
                <w:color w:val="000000" w:themeColor="text1"/>
                <w:sz w:val="20"/>
              </w:rPr>
            </w:pPr>
            <w:r w:rsidRPr="00F534EA">
              <w:rPr>
                <w:rFonts w:ascii="Times New Roman" w:hAnsi="Times New Roman"/>
                <w:color w:val="000000" w:themeColor="text1"/>
                <w:sz w:val="20"/>
              </w:rPr>
              <w:t>Chief of staff to the deputy administrator</w:t>
            </w:r>
          </w:p>
          <w:p w14:paraId="56873A3C" w14:textId="77777777" w:rsidR="008D3A79" w:rsidRPr="00F534EA" w:rsidRDefault="008D3A79" w:rsidP="00FB2251">
            <w:pPr>
              <w:pStyle w:val="TBFL"/>
              <w:numPr>
                <w:ilvl w:val="0"/>
                <w:numId w:val="1"/>
              </w:numPr>
              <w:spacing w:line="240" w:lineRule="auto"/>
              <w:ind w:left="559"/>
              <w:rPr>
                <w:rFonts w:ascii="Times New Roman" w:hAnsi="Times New Roman"/>
                <w:color w:val="000000" w:themeColor="text1"/>
                <w:sz w:val="20"/>
              </w:rPr>
            </w:pPr>
            <w:r w:rsidRPr="00F534EA">
              <w:rPr>
                <w:rFonts w:ascii="Times New Roman" w:hAnsi="Times New Roman"/>
                <w:color w:val="000000" w:themeColor="text1"/>
                <w:sz w:val="20"/>
              </w:rPr>
              <w:t xml:space="preserve">Associate deputy </w:t>
            </w:r>
            <w:r w:rsidRPr="00F534EA">
              <w:rPr>
                <w:rFonts w:ascii="Times New Roman" w:hAnsi="Times New Roman"/>
                <w:color w:val="000000" w:themeColor="text1"/>
                <w:sz w:val="20"/>
              </w:rPr>
              <w:lastRenderedPageBreak/>
              <w:t>administrator</w:t>
            </w:r>
          </w:p>
          <w:p w14:paraId="1CD1F660" w14:textId="77777777" w:rsidR="008D3A79" w:rsidRPr="00F534EA" w:rsidRDefault="008D3A79" w:rsidP="00FB2251">
            <w:pPr>
              <w:pStyle w:val="TBFL"/>
              <w:numPr>
                <w:ilvl w:val="0"/>
                <w:numId w:val="1"/>
              </w:numPr>
              <w:spacing w:line="240" w:lineRule="auto"/>
              <w:ind w:left="559"/>
              <w:rPr>
                <w:rFonts w:ascii="Times New Roman" w:hAnsi="Times New Roman"/>
                <w:color w:val="000000" w:themeColor="text1"/>
                <w:sz w:val="20"/>
              </w:rPr>
            </w:pPr>
            <w:r w:rsidRPr="00F534EA">
              <w:rPr>
                <w:rFonts w:ascii="Times New Roman" w:hAnsi="Times New Roman"/>
                <w:color w:val="000000" w:themeColor="text1"/>
                <w:sz w:val="20"/>
              </w:rPr>
              <w:t>Deputy associate deputy administrator</w:t>
            </w:r>
          </w:p>
          <w:p w14:paraId="3DE58DE7" w14:textId="77777777" w:rsidR="008D3A79" w:rsidRPr="00F534EA" w:rsidRDefault="008D3A79" w:rsidP="00FB2251">
            <w:pPr>
              <w:pStyle w:val="TBFL"/>
              <w:numPr>
                <w:ilvl w:val="0"/>
                <w:numId w:val="1"/>
              </w:numPr>
              <w:spacing w:line="240" w:lineRule="auto"/>
              <w:ind w:left="559"/>
              <w:rPr>
                <w:rFonts w:ascii="Times New Roman" w:hAnsi="Times New Roman"/>
                <w:color w:val="000000" w:themeColor="text1"/>
                <w:sz w:val="20"/>
              </w:rPr>
            </w:pPr>
            <w:r w:rsidRPr="00F534EA">
              <w:rPr>
                <w:rFonts w:ascii="Times New Roman" w:hAnsi="Times New Roman"/>
                <w:color w:val="000000" w:themeColor="text1"/>
                <w:sz w:val="20"/>
              </w:rPr>
              <w:t>Assistant deputy administrator</w:t>
            </w:r>
          </w:p>
          <w:p w14:paraId="2A81A645" w14:textId="77777777" w:rsidR="008D3A79" w:rsidRPr="00F534EA" w:rsidRDefault="008D3A79" w:rsidP="00FB2251">
            <w:pPr>
              <w:pStyle w:val="TBFL"/>
              <w:numPr>
                <w:ilvl w:val="0"/>
                <w:numId w:val="1"/>
              </w:numPr>
              <w:spacing w:line="240" w:lineRule="auto"/>
              <w:ind w:left="559"/>
              <w:rPr>
                <w:rFonts w:ascii="Times New Roman" w:hAnsi="Times New Roman"/>
                <w:color w:val="000000" w:themeColor="text1"/>
                <w:sz w:val="20"/>
              </w:rPr>
            </w:pPr>
            <w:r w:rsidRPr="00F534EA">
              <w:rPr>
                <w:rFonts w:ascii="Times New Roman" w:hAnsi="Times New Roman"/>
                <w:color w:val="000000" w:themeColor="text1"/>
                <w:sz w:val="20"/>
              </w:rPr>
              <w:t>Deputy assistant deputy administrator</w:t>
            </w:r>
          </w:p>
          <w:p w14:paraId="4AD46641" w14:textId="77777777" w:rsidR="008D3A79" w:rsidRPr="00F534EA" w:rsidRDefault="008D3A79" w:rsidP="00FB2251">
            <w:pPr>
              <w:pStyle w:val="TBFL"/>
              <w:numPr>
                <w:ilvl w:val="0"/>
                <w:numId w:val="1"/>
              </w:numPr>
              <w:spacing w:line="240" w:lineRule="auto"/>
              <w:ind w:left="559"/>
              <w:rPr>
                <w:rFonts w:ascii="Times New Roman" w:hAnsi="Times New Roman"/>
                <w:color w:val="000000" w:themeColor="text1"/>
                <w:sz w:val="20"/>
              </w:rPr>
            </w:pPr>
            <w:r w:rsidRPr="00F534EA">
              <w:rPr>
                <w:rFonts w:ascii="Times New Roman" w:hAnsi="Times New Roman"/>
                <w:color w:val="000000" w:themeColor="text1"/>
                <w:sz w:val="20"/>
              </w:rPr>
              <w:t>Principal assistant deputy administrator</w:t>
            </w:r>
          </w:p>
          <w:p w14:paraId="5163A680" w14:textId="77777777" w:rsidR="008D3A79" w:rsidRPr="00F534EA" w:rsidRDefault="008D3A79" w:rsidP="00FB2251">
            <w:pPr>
              <w:pStyle w:val="TBFL"/>
              <w:numPr>
                <w:ilvl w:val="0"/>
                <w:numId w:val="1"/>
              </w:numPr>
              <w:spacing w:line="240" w:lineRule="auto"/>
              <w:ind w:left="559"/>
              <w:rPr>
                <w:rFonts w:ascii="Times New Roman" w:hAnsi="Times New Roman"/>
                <w:color w:val="000000" w:themeColor="text1"/>
                <w:sz w:val="20"/>
              </w:rPr>
            </w:pPr>
            <w:r w:rsidRPr="00F534EA">
              <w:rPr>
                <w:rFonts w:ascii="Times New Roman" w:hAnsi="Times New Roman"/>
                <w:color w:val="000000" w:themeColor="text1"/>
                <w:sz w:val="20"/>
              </w:rPr>
              <w:t>Associate assistant deputy administrator</w:t>
            </w:r>
          </w:p>
          <w:p w14:paraId="76F76300" w14:textId="77777777" w:rsidR="008D3A79" w:rsidRPr="00F534EA" w:rsidRDefault="008D3A79" w:rsidP="00FB2251">
            <w:pPr>
              <w:pStyle w:val="TBFL"/>
              <w:numPr>
                <w:ilvl w:val="0"/>
                <w:numId w:val="1"/>
              </w:numPr>
              <w:spacing w:line="240" w:lineRule="auto"/>
              <w:ind w:left="559"/>
              <w:rPr>
                <w:rFonts w:ascii="Times New Roman" w:hAnsi="Times New Roman"/>
                <w:color w:val="000000" w:themeColor="text1"/>
                <w:sz w:val="20"/>
              </w:rPr>
            </w:pPr>
            <w:r w:rsidRPr="00F534EA">
              <w:rPr>
                <w:rFonts w:ascii="Times New Roman" w:hAnsi="Times New Roman"/>
                <w:color w:val="000000" w:themeColor="text1"/>
                <w:sz w:val="20"/>
              </w:rPr>
              <w:t>Senior associate administrator</w:t>
            </w:r>
          </w:p>
          <w:p w14:paraId="0B9DE36D" w14:textId="77777777" w:rsidR="008D3A79" w:rsidRPr="00F534EA" w:rsidRDefault="008D3A79" w:rsidP="00FB2251">
            <w:pPr>
              <w:pStyle w:val="TBFL"/>
              <w:numPr>
                <w:ilvl w:val="0"/>
                <w:numId w:val="1"/>
              </w:numPr>
              <w:spacing w:line="240" w:lineRule="auto"/>
              <w:ind w:left="559"/>
              <w:rPr>
                <w:rFonts w:ascii="Times New Roman" w:hAnsi="Times New Roman"/>
                <w:color w:val="000000" w:themeColor="text1"/>
                <w:sz w:val="20"/>
              </w:rPr>
            </w:pPr>
            <w:r w:rsidRPr="00F534EA">
              <w:rPr>
                <w:rFonts w:ascii="Times New Roman" w:hAnsi="Times New Roman"/>
                <w:color w:val="000000" w:themeColor="text1"/>
                <w:sz w:val="20"/>
              </w:rPr>
              <w:t>Associate administrator</w:t>
            </w:r>
          </w:p>
          <w:p w14:paraId="432A79C8" w14:textId="77777777" w:rsidR="008D3A79" w:rsidRPr="00F534EA" w:rsidRDefault="008D3A79" w:rsidP="00FB2251">
            <w:pPr>
              <w:pStyle w:val="TBFL"/>
              <w:numPr>
                <w:ilvl w:val="0"/>
                <w:numId w:val="1"/>
              </w:numPr>
              <w:spacing w:line="240" w:lineRule="auto"/>
              <w:ind w:left="559"/>
              <w:rPr>
                <w:rFonts w:ascii="Times New Roman" w:hAnsi="Times New Roman"/>
                <w:color w:val="000000" w:themeColor="text1"/>
                <w:sz w:val="20"/>
              </w:rPr>
            </w:pPr>
            <w:r w:rsidRPr="00F534EA">
              <w:rPr>
                <w:rFonts w:ascii="Times New Roman" w:hAnsi="Times New Roman"/>
                <w:color w:val="000000" w:themeColor="text1"/>
                <w:sz w:val="20"/>
              </w:rPr>
              <w:t>Chief of staff to the associate administrator</w:t>
            </w:r>
          </w:p>
          <w:p w14:paraId="4F8EB570" w14:textId="77777777" w:rsidR="008D3A79" w:rsidRPr="00F534EA" w:rsidRDefault="008D3A79" w:rsidP="00FB2251">
            <w:pPr>
              <w:pStyle w:val="TBFL"/>
              <w:numPr>
                <w:ilvl w:val="0"/>
                <w:numId w:val="1"/>
              </w:numPr>
              <w:spacing w:line="240" w:lineRule="auto"/>
              <w:ind w:left="559"/>
              <w:rPr>
                <w:rFonts w:ascii="Times New Roman" w:hAnsi="Times New Roman"/>
                <w:color w:val="000000" w:themeColor="text1"/>
                <w:sz w:val="20"/>
              </w:rPr>
            </w:pPr>
            <w:r w:rsidRPr="00F534EA">
              <w:rPr>
                <w:rFonts w:ascii="Times New Roman" w:hAnsi="Times New Roman"/>
                <w:color w:val="000000" w:themeColor="text1"/>
                <w:sz w:val="20"/>
              </w:rPr>
              <w:t>Deputy chief of staff to the associate administrator</w:t>
            </w:r>
          </w:p>
          <w:p w14:paraId="30D363FA" w14:textId="77777777" w:rsidR="008D3A79" w:rsidRPr="00F534EA" w:rsidRDefault="008D3A79" w:rsidP="00FB2251">
            <w:pPr>
              <w:pStyle w:val="TBFL"/>
              <w:numPr>
                <w:ilvl w:val="0"/>
                <w:numId w:val="1"/>
              </w:numPr>
              <w:spacing w:line="240" w:lineRule="auto"/>
              <w:ind w:left="559"/>
              <w:rPr>
                <w:rFonts w:ascii="Times New Roman" w:hAnsi="Times New Roman"/>
                <w:color w:val="000000" w:themeColor="text1"/>
                <w:sz w:val="20"/>
              </w:rPr>
            </w:pPr>
            <w:r w:rsidRPr="00F534EA">
              <w:rPr>
                <w:rFonts w:ascii="Times New Roman" w:hAnsi="Times New Roman"/>
                <w:color w:val="000000" w:themeColor="text1"/>
                <w:sz w:val="20"/>
              </w:rPr>
              <w:t>Deputy executive associate administrator</w:t>
            </w:r>
          </w:p>
          <w:p w14:paraId="38AF42F1" w14:textId="77777777" w:rsidR="008D3A79" w:rsidRPr="00F534EA" w:rsidRDefault="008D3A79" w:rsidP="00FB2251">
            <w:pPr>
              <w:pStyle w:val="TBFL"/>
              <w:numPr>
                <w:ilvl w:val="0"/>
                <w:numId w:val="1"/>
              </w:numPr>
              <w:spacing w:line="240" w:lineRule="auto"/>
              <w:ind w:left="559"/>
              <w:rPr>
                <w:rFonts w:ascii="Times New Roman" w:hAnsi="Times New Roman"/>
                <w:color w:val="000000" w:themeColor="text1"/>
                <w:sz w:val="20"/>
              </w:rPr>
            </w:pPr>
            <w:r w:rsidRPr="00F534EA">
              <w:rPr>
                <w:rFonts w:ascii="Times New Roman" w:hAnsi="Times New Roman"/>
                <w:color w:val="000000" w:themeColor="text1"/>
                <w:sz w:val="20"/>
              </w:rPr>
              <w:t>Deputy associate administrator</w:t>
            </w:r>
          </w:p>
          <w:p w14:paraId="36A7D837" w14:textId="77777777" w:rsidR="008D3A79" w:rsidRPr="00F534EA" w:rsidRDefault="008D3A79" w:rsidP="00FB2251">
            <w:pPr>
              <w:pStyle w:val="TBFL"/>
              <w:numPr>
                <w:ilvl w:val="0"/>
                <w:numId w:val="1"/>
              </w:numPr>
              <w:spacing w:line="240" w:lineRule="auto"/>
              <w:ind w:left="559"/>
              <w:rPr>
                <w:rFonts w:ascii="Times New Roman" w:hAnsi="Times New Roman"/>
                <w:color w:val="000000" w:themeColor="text1"/>
                <w:sz w:val="20"/>
              </w:rPr>
            </w:pPr>
            <w:r w:rsidRPr="00F534EA">
              <w:rPr>
                <w:rFonts w:ascii="Times New Roman" w:hAnsi="Times New Roman"/>
                <w:color w:val="000000" w:themeColor="text1"/>
                <w:sz w:val="20"/>
              </w:rPr>
              <w:t>Senior associate deputy administrator</w:t>
            </w:r>
          </w:p>
          <w:p w14:paraId="601E8674" w14:textId="77777777" w:rsidR="008D3A79" w:rsidRPr="00F534EA" w:rsidRDefault="008D3A79" w:rsidP="00FB2251">
            <w:pPr>
              <w:pStyle w:val="TBFL"/>
              <w:numPr>
                <w:ilvl w:val="0"/>
                <w:numId w:val="1"/>
              </w:numPr>
              <w:spacing w:line="240" w:lineRule="auto"/>
              <w:ind w:left="559"/>
              <w:rPr>
                <w:rFonts w:ascii="Times New Roman" w:hAnsi="Times New Roman"/>
                <w:color w:val="000000" w:themeColor="text1"/>
                <w:sz w:val="20"/>
              </w:rPr>
            </w:pPr>
            <w:r w:rsidRPr="00F534EA">
              <w:rPr>
                <w:rFonts w:ascii="Times New Roman" w:hAnsi="Times New Roman"/>
                <w:color w:val="000000" w:themeColor="text1"/>
                <w:sz w:val="20"/>
              </w:rPr>
              <w:t>Assistant administrator</w:t>
            </w:r>
          </w:p>
          <w:p w14:paraId="0E18ED21" w14:textId="77777777" w:rsidR="008D3A79" w:rsidRPr="00F534EA" w:rsidRDefault="008D3A79" w:rsidP="00FB2251">
            <w:pPr>
              <w:pStyle w:val="TBFL"/>
              <w:numPr>
                <w:ilvl w:val="0"/>
                <w:numId w:val="1"/>
              </w:numPr>
              <w:spacing w:line="240" w:lineRule="auto"/>
              <w:ind w:left="559"/>
              <w:rPr>
                <w:rFonts w:ascii="Times New Roman" w:hAnsi="Times New Roman"/>
                <w:color w:val="000000" w:themeColor="text1"/>
                <w:sz w:val="20"/>
              </w:rPr>
            </w:pPr>
            <w:r w:rsidRPr="00F534EA">
              <w:rPr>
                <w:rFonts w:ascii="Times New Roman" w:hAnsi="Times New Roman"/>
                <w:color w:val="000000" w:themeColor="text1"/>
                <w:sz w:val="20"/>
              </w:rPr>
              <w:t>Chief of staff to the assistant administrator</w:t>
            </w:r>
          </w:p>
          <w:p w14:paraId="6D4DCE6C" w14:textId="77777777" w:rsidR="008D3A79" w:rsidRPr="00F534EA" w:rsidRDefault="008D3A79" w:rsidP="00FB2251">
            <w:pPr>
              <w:pStyle w:val="TBFL"/>
              <w:numPr>
                <w:ilvl w:val="0"/>
                <w:numId w:val="1"/>
              </w:numPr>
              <w:spacing w:line="240" w:lineRule="auto"/>
              <w:ind w:left="559"/>
              <w:rPr>
                <w:rFonts w:ascii="Times New Roman" w:hAnsi="Times New Roman"/>
                <w:color w:val="000000" w:themeColor="text1"/>
                <w:sz w:val="20"/>
              </w:rPr>
            </w:pPr>
            <w:r w:rsidRPr="00F534EA">
              <w:rPr>
                <w:rFonts w:ascii="Times New Roman" w:hAnsi="Times New Roman"/>
                <w:color w:val="000000" w:themeColor="text1"/>
                <w:sz w:val="20"/>
              </w:rPr>
              <w:t>Deputy assistant administrator</w:t>
            </w:r>
          </w:p>
          <w:p w14:paraId="5CF4F15B" w14:textId="77777777" w:rsidR="008D3A79" w:rsidRPr="00F534EA" w:rsidRDefault="008D3A79" w:rsidP="00FB2251">
            <w:pPr>
              <w:pStyle w:val="TBFL"/>
              <w:numPr>
                <w:ilvl w:val="0"/>
                <w:numId w:val="1"/>
              </w:numPr>
              <w:spacing w:line="240" w:lineRule="auto"/>
              <w:ind w:left="559"/>
              <w:rPr>
                <w:rFonts w:ascii="Times New Roman" w:hAnsi="Times New Roman"/>
                <w:color w:val="000000" w:themeColor="text1"/>
                <w:sz w:val="20"/>
              </w:rPr>
            </w:pPr>
            <w:r w:rsidRPr="00F534EA">
              <w:rPr>
                <w:rFonts w:ascii="Times New Roman" w:hAnsi="Times New Roman"/>
                <w:color w:val="000000" w:themeColor="text1"/>
                <w:sz w:val="20"/>
              </w:rPr>
              <w:t>Associate assistant administrator</w:t>
            </w:r>
          </w:p>
          <w:p w14:paraId="3BDC0E18" w14:textId="77777777" w:rsidR="008D3A79" w:rsidRPr="00F534EA" w:rsidRDefault="008D3A79" w:rsidP="00FB2251">
            <w:pPr>
              <w:pStyle w:val="TBFL"/>
              <w:numPr>
                <w:ilvl w:val="0"/>
                <w:numId w:val="1"/>
              </w:numPr>
              <w:spacing w:line="240" w:lineRule="auto"/>
              <w:ind w:left="559"/>
              <w:rPr>
                <w:rFonts w:ascii="Times New Roman" w:hAnsi="Times New Roman"/>
                <w:color w:val="000000" w:themeColor="text1"/>
                <w:sz w:val="20"/>
              </w:rPr>
            </w:pPr>
            <w:r w:rsidRPr="00F534EA">
              <w:rPr>
                <w:rFonts w:ascii="Times New Roman" w:hAnsi="Times New Roman"/>
                <w:color w:val="000000" w:themeColor="text1"/>
                <w:sz w:val="20"/>
              </w:rPr>
              <w:t>Associate deputy assistant administrator</w:t>
            </w:r>
          </w:p>
        </w:tc>
      </w:tr>
    </w:tbl>
    <w:p w14:paraId="147E8486" w14:textId="77777777" w:rsidR="00295883" w:rsidRDefault="00295883" w:rsidP="002C1D67">
      <w:pPr>
        <w:suppressAutoHyphens/>
        <w:spacing w:line="360" w:lineRule="auto"/>
        <w:ind w:firstLine="432"/>
        <w:rPr>
          <w:color w:val="000000" w:themeColor="text1"/>
        </w:rPr>
      </w:pPr>
    </w:p>
    <w:p w14:paraId="08A836BC" w14:textId="77777777" w:rsidR="002C1D67" w:rsidRDefault="002C1D67" w:rsidP="002C1D67">
      <w:pPr>
        <w:suppressAutoHyphens/>
        <w:spacing w:line="360" w:lineRule="auto"/>
        <w:ind w:firstLine="432"/>
        <w:rPr>
          <w:color w:val="000000" w:themeColor="text1"/>
        </w:rPr>
      </w:pPr>
    </w:p>
    <w:p w14:paraId="54D6A434" w14:textId="4C6720CB" w:rsidR="00295883" w:rsidRDefault="00FD0D1A" w:rsidP="003D5001">
      <w:pPr>
        <w:suppressAutoHyphens/>
        <w:spacing w:line="480" w:lineRule="auto"/>
        <w:ind w:firstLine="432"/>
        <w:rPr>
          <w:color w:val="000000" w:themeColor="text1"/>
        </w:rPr>
      </w:pPr>
      <w:r>
        <w:rPr>
          <w:color w:val="000000" w:themeColor="text1"/>
        </w:rPr>
        <w:t>Some titles may challenge credulity</w:t>
      </w:r>
      <w:r w:rsidR="003D5001">
        <w:rPr>
          <w:color w:val="000000" w:themeColor="text1"/>
        </w:rPr>
        <w:t xml:space="preserve">, but </w:t>
      </w:r>
      <w:r w:rsidR="002C1D67">
        <w:rPr>
          <w:color w:val="000000" w:themeColor="text1"/>
        </w:rPr>
        <w:t>all 71 can be found in the</w:t>
      </w:r>
      <w:r w:rsidR="00295883">
        <w:rPr>
          <w:color w:val="000000" w:themeColor="text1"/>
        </w:rPr>
        <w:t xml:space="preserve"> </w:t>
      </w:r>
      <w:r>
        <w:rPr>
          <w:color w:val="000000" w:themeColor="text1"/>
        </w:rPr>
        <w:t>federal phone</w:t>
      </w:r>
      <w:r w:rsidR="002C1D67">
        <w:rPr>
          <w:color w:val="000000" w:themeColor="text1"/>
        </w:rPr>
        <w:t xml:space="preserve"> directories used for this analysis</w:t>
      </w:r>
      <w:r>
        <w:rPr>
          <w:color w:val="000000" w:themeColor="text1"/>
        </w:rPr>
        <w:t>. For example, t</w:t>
      </w:r>
      <w:r w:rsidR="002C1D67">
        <w:rPr>
          <w:color w:val="000000" w:themeColor="text1"/>
        </w:rPr>
        <w:t xml:space="preserve">he 2016 federal phonebook listed </w:t>
      </w:r>
      <w:r w:rsidR="003D5001">
        <w:rPr>
          <w:color w:val="000000" w:themeColor="text1"/>
        </w:rPr>
        <w:t>an associate principal deputy assistant secretary</w:t>
      </w:r>
      <w:r w:rsidR="002C1D67">
        <w:rPr>
          <w:color w:val="000000" w:themeColor="text1"/>
        </w:rPr>
        <w:t xml:space="preserve"> at the Energy Department</w:t>
      </w:r>
      <w:r w:rsidR="003D5001">
        <w:rPr>
          <w:color w:val="000000" w:themeColor="text1"/>
        </w:rPr>
        <w:t>, an associate assistant deputy secretary</w:t>
      </w:r>
      <w:r w:rsidR="002A72C3">
        <w:rPr>
          <w:color w:val="000000" w:themeColor="text1"/>
        </w:rPr>
        <w:t xml:space="preserve"> </w:t>
      </w:r>
      <w:r w:rsidR="002C1D67">
        <w:rPr>
          <w:color w:val="000000" w:themeColor="text1"/>
        </w:rPr>
        <w:t xml:space="preserve">at the Education </w:t>
      </w:r>
      <w:r w:rsidR="001629D9">
        <w:rPr>
          <w:color w:val="000000" w:themeColor="text1"/>
        </w:rPr>
        <w:t xml:space="preserve">Department, </w:t>
      </w:r>
      <w:r w:rsidR="000E56FE">
        <w:rPr>
          <w:color w:val="000000" w:themeColor="text1"/>
        </w:rPr>
        <w:t>a</w:t>
      </w:r>
      <w:r w:rsidR="003D5001">
        <w:rPr>
          <w:color w:val="000000" w:themeColor="text1"/>
        </w:rPr>
        <w:t xml:space="preserve"> principal </w:t>
      </w:r>
      <w:r w:rsidR="00E12942">
        <w:rPr>
          <w:color w:val="000000" w:themeColor="text1"/>
        </w:rPr>
        <w:t xml:space="preserve">deputy </w:t>
      </w:r>
      <w:r w:rsidR="003D5001">
        <w:rPr>
          <w:color w:val="000000" w:themeColor="text1"/>
        </w:rPr>
        <w:t xml:space="preserve">associate </w:t>
      </w:r>
      <w:r w:rsidR="00E12942">
        <w:rPr>
          <w:color w:val="000000" w:themeColor="text1"/>
        </w:rPr>
        <w:t xml:space="preserve">and a principal deputy assistant </w:t>
      </w:r>
      <w:r w:rsidR="003D5001">
        <w:rPr>
          <w:color w:val="000000" w:themeColor="text1"/>
        </w:rPr>
        <w:t>Attorney Genera</w:t>
      </w:r>
      <w:r w:rsidR="001629D9">
        <w:rPr>
          <w:color w:val="000000" w:themeColor="text1"/>
        </w:rPr>
        <w:t xml:space="preserve">l at Justice, and an </w:t>
      </w:r>
      <w:r w:rsidR="003D5001">
        <w:rPr>
          <w:color w:val="000000" w:themeColor="text1"/>
        </w:rPr>
        <w:t>associate deputy assistant</w:t>
      </w:r>
      <w:r w:rsidR="000E56FE">
        <w:rPr>
          <w:color w:val="000000" w:themeColor="text1"/>
        </w:rPr>
        <w:t xml:space="preserve"> secretary</w:t>
      </w:r>
      <w:r w:rsidR="001629D9">
        <w:rPr>
          <w:color w:val="000000" w:themeColor="text1"/>
        </w:rPr>
        <w:t xml:space="preserve"> at the Veterans Affairs Department</w:t>
      </w:r>
      <w:r w:rsidR="000E56FE">
        <w:rPr>
          <w:color w:val="000000" w:themeColor="text1"/>
        </w:rPr>
        <w:t>.</w:t>
      </w:r>
    </w:p>
    <w:p w14:paraId="1A0FB345" w14:textId="570A6C73" w:rsidR="00FD0D1A" w:rsidRDefault="00905294" w:rsidP="005D471E">
      <w:pPr>
        <w:suppressAutoHyphens/>
        <w:spacing w:line="480" w:lineRule="auto"/>
        <w:ind w:firstLine="432"/>
        <w:outlineLvl w:val="0"/>
        <w:rPr>
          <w:color w:val="000000" w:themeColor="text1"/>
        </w:rPr>
      </w:pPr>
      <w:r>
        <w:rPr>
          <w:color w:val="000000" w:themeColor="text1"/>
        </w:rPr>
        <w:t xml:space="preserve">Table 2 shows the remarkable spread of the </w:t>
      </w:r>
      <w:r w:rsidR="001618F4">
        <w:rPr>
          <w:color w:val="000000" w:themeColor="text1"/>
        </w:rPr>
        <w:t xml:space="preserve">Senate-confirmed and associated </w:t>
      </w:r>
      <w:r w:rsidR="005D471E">
        <w:rPr>
          <w:color w:val="000000" w:themeColor="text1"/>
        </w:rPr>
        <w:t xml:space="preserve">titles over time. </w:t>
      </w:r>
      <w:r>
        <w:rPr>
          <w:color w:val="000000" w:themeColor="text1"/>
        </w:rPr>
        <w:t xml:space="preserve">The number of </w:t>
      </w:r>
      <w:r w:rsidR="008D3A79">
        <w:rPr>
          <w:color w:val="000000" w:themeColor="text1"/>
        </w:rPr>
        <w:t xml:space="preserve">layers </w:t>
      </w:r>
      <w:r w:rsidR="0060570F">
        <w:rPr>
          <w:color w:val="000000" w:themeColor="text1"/>
        </w:rPr>
        <w:t xml:space="preserve">of leaders </w:t>
      </w:r>
      <w:r w:rsidR="008D3A79">
        <w:rPr>
          <w:color w:val="000000" w:themeColor="text1"/>
        </w:rPr>
        <w:t xml:space="preserve">increased more than 400 percent between 1961 and </w:t>
      </w:r>
      <w:r w:rsidR="008D3A79">
        <w:rPr>
          <w:color w:val="000000" w:themeColor="text1"/>
        </w:rPr>
        <w:lastRenderedPageBreak/>
        <w:t xml:space="preserve">2016, while the number of </w:t>
      </w:r>
      <w:r w:rsidR="0060570F">
        <w:rPr>
          <w:color w:val="000000" w:themeColor="text1"/>
        </w:rPr>
        <w:t xml:space="preserve">leaders per layer </w:t>
      </w:r>
      <w:r w:rsidR="008D3A79">
        <w:rPr>
          <w:color w:val="000000" w:themeColor="text1"/>
        </w:rPr>
        <w:t xml:space="preserve">increased </w:t>
      </w:r>
      <w:r w:rsidR="002B2B7F">
        <w:rPr>
          <w:color w:val="000000" w:themeColor="text1"/>
        </w:rPr>
        <w:t>almost 750</w:t>
      </w:r>
      <w:r w:rsidR="008D3A79">
        <w:rPr>
          <w:color w:val="000000" w:themeColor="text1"/>
        </w:rPr>
        <w:t xml:space="preserve"> percent. </w:t>
      </w:r>
      <w:r w:rsidR="0060570F">
        <w:rPr>
          <w:color w:val="000000" w:themeColor="text1"/>
        </w:rPr>
        <w:t xml:space="preserve">There are no federal phonebooks dating back to the 1940s and 1950s, but it </w:t>
      </w:r>
      <w:r w:rsidR="008D3A79">
        <w:rPr>
          <w:color w:val="000000" w:themeColor="text1"/>
        </w:rPr>
        <w:t>is safe to say that federal government never had more layers of leaders or more leaders per l</w:t>
      </w:r>
      <w:r w:rsidR="0060570F">
        <w:rPr>
          <w:color w:val="000000" w:themeColor="text1"/>
        </w:rPr>
        <w:t>ayer</w:t>
      </w:r>
      <w:r w:rsidR="008D3A79">
        <w:rPr>
          <w:color w:val="000000" w:themeColor="text1"/>
        </w:rPr>
        <w:t xml:space="preserve"> than on January 20, 2017. </w:t>
      </w:r>
    </w:p>
    <w:p w14:paraId="77741ECE" w14:textId="77777777" w:rsidR="00FD0D1A" w:rsidRDefault="00FD0D1A" w:rsidP="00FD0D1A">
      <w:pPr>
        <w:suppressAutoHyphens/>
        <w:spacing w:line="480" w:lineRule="auto"/>
        <w:jc w:val="center"/>
        <w:outlineLvl w:val="0"/>
        <w:rPr>
          <w:color w:val="000000" w:themeColor="text1"/>
        </w:rPr>
      </w:pPr>
    </w:p>
    <w:p w14:paraId="2D928B07" w14:textId="675D0ACC" w:rsidR="00FD0D1A" w:rsidRDefault="00FD0D1A" w:rsidP="00FD0D1A">
      <w:pPr>
        <w:suppressAutoHyphens/>
        <w:spacing w:line="480" w:lineRule="auto"/>
        <w:jc w:val="center"/>
        <w:outlineLvl w:val="0"/>
        <w:rPr>
          <w:color w:val="000000" w:themeColor="text1"/>
        </w:rPr>
      </w:pPr>
      <w:r w:rsidRPr="00AD6798">
        <w:rPr>
          <w:color w:val="000000" w:themeColor="text1"/>
        </w:rPr>
        <w:t xml:space="preserve">TABLE </w:t>
      </w:r>
      <w:r>
        <w:rPr>
          <w:color w:val="000000" w:themeColor="text1"/>
        </w:rPr>
        <w:t>2</w:t>
      </w:r>
      <w:r w:rsidRPr="00541286">
        <w:rPr>
          <w:color w:val="000000" w:themeColor="text1"/>
        </w:rPr>
        <w:t xml:space="preserve">: </w:t>
      </w:r>
      <w:r>
        <w:rPr>
          <w:color w:val="000000" w:themeColor="text1"/>
        </w:rPr>
        <w:t>LEADERS PER LAYER</w:t>
      </w:r>
      <w:r w:rsidRPr="00C51FF6">
        <w:rPr>
          <w:color w:val="000000" w:themeColor="text1"/>
        </w:rPr>
        <w:t>, 1964-2016</w:t>
      </w:r>
    </w:p>
    <w:p w14:paraId="3CCEB7DA" w14:textId="77777777" w:rsidR="00FD0D1A" w:rsidRDefault="00FD0D1A" w:rsidP="005D471E">
      <w:pPr>
        <w:suppressAutoHyphens/>
        <w:spacing w:line="600" w:lineRule="auto"/>
        <w:jc w:val="center"/>
        <w:outlineLvl w:val="0"/>
        <w:rPr>
          <w:color w:val="000000" w:themeColor="text1"/>
        </w:rPr>
      </w:pPr>
    </w:p>
    <w:tbl>
      <w:tblPr>
        <w:tblStyle w:val="TableGrid"/>
        <w:tblW w:w="9270" w:type="dxa"/>
        <w:tblInd w:w="-5" w:type="dxa"/>
        <w:tblBorders>
          <w:insideH w:val="none" w:sz="0" w:space="0" w:color="auto"/>
        </w:tblBorders>
        <w:tblLayout w:type="fixed"/>
        <w:tblLook w:val="04A0" w:firstRow="1" w:lastRow="0" w:firstColumn="1" w:lastColumn="0" w:noHBand="0" w:noVBand="1"/>
      </w:tblPr>
      <w:tblGrid>
        <w:gridCol w:w="1080"/>
        <w:gridCol w:w="675"/>
        <w:gridCol w:w="675"/>
        <w:gridCol w:w="675"/>
        <w:gridCol w:w="676"/>
        <w:gridCol w:w="675"/>
        <w:gridCol w:w="675"/>
        <w:gridCol w:w="689"/>
        <w:gridCol w:w="690"/>
        <w:gridCol w:w="690"/>
        <w:gridCol w:w="690"/>
        <w:gridCol w:w="690"/>
        <w:gridCol w:w="690"/>
      </w:tblGrid>
      <w:tr w:rsidR="00FD0D1A" w:rsidRPr="00F534EA" w14:paraId="07AB1C4E" w14:textId="77777777" w:rsidTr="00A64D27">
        <w:trPr>
          <w:trHeight w:val="521"/>
        </w:trPr>
        <w:tc>
          <w:tcPr>
            <w:tcW w:w="1080" w:type="dxa"/>
            <w:vMerge w:val="restart"/>
          </w:tcPr>
          <w:p w14:paraId="69EC49F5" w14:textId="77777777" w:rsidR="00FD0D1A" w:rsidRPr="00F534EA" w:rsidRDefault="00FD0D1A" w:rsidP="00A64D27">
            <w:pPr>
              <w:rPr>
                <w:sz w:val="16"/>
                <w:szCs w:val="16"/>
              </w:rPr>
            </w:pPr>
          </w:p>
        </w:tc>
        <w:tc>
          <w:tcPr>
            <w:tcW w:w="4051" w:type="dxa"/>
            <w:gridSpan w:val="6"/>
            <w:vAlign w:val="center"/>
          </w:tcPr>
          <w:p w14:paraId="28DE219C" w14:textId="77777777" w:rsidR="00FD0D1A" w:rsidRPr="00F534EA" w:rsidRDefault="00FD0D1A" w:rsidP="00A64D27">
            <w:pPr>
              <w:jc w:val="center"/>
              <w:rPr>
                <w:sz w:val="20"/>
                <w:szCs w:val="20"/>
              </w:rPr>
            </w:pPr>
            <w:r w:rsidRPr="00F534EA">
              <w:rPr>
                <w:sz w:val="20"/>
                <w:szCs w:val="20"/>
              </w:rPr>
              <w:t xml:space="preserve">Layers </w:t>
            </w:r>
            <w:r>
              <w:rPr>
                <w:sz w:val="20"/>
                <w:szCs w:val="20"/>
              </w:rPr>
              <w:t>of Leaders</w:t>
            </w:r>
          </w:p>
        </w:tc>
        <w:tc>
          <w:tcPr>
            <w:tcW w:w="4139" w:type="dxa"/>
            <w:gridSpan w:val="6"/>
            <w:vAlign w:val="center"/>
          </w:tcPr>
          <w:p w14:paraId="6CBC1CD6" w14:textId="77777777" w:rsidR="00FD0D1A" w:rsidRPr="00F534EA" w:rsidRDefault="00FD0D1A" w:rsidP="00A64D27">
            <w:pPr>
              <w:jc w:val="center"/>
              <w:rPr>
                <w:sz w:val="20"/>
                <w:szCs w:val="20"/>
              </w:rPr>
            </w:pPr>
            <w:r>
              <w:rPr>
                <w:sz w:val="20"/>
                <w:szCs w:val="20"/>
              </w:rPr>
              <w:t>Leaders in Layers</w:t>
            </w:r>
          </w:p>
        </w:tc>
      </w:tr>
      <w:tr w:rsidR="00FD0D1A" w:rsidRPr="00F534EA" w14:paraId="56550C6F" w14:textId="77777777" w:rsidTr="00A64D27">
        <w:trPr>
          <w:trHeight w:val="521"/>
        </w:trPr>
        <w:tc>
          <w:tcPr>
            <w:tcW w:w="1080" w:type="dxa"/>
            <w:vMerge/>
          </w:tcPr>
          <w:p w14:paraId="4A6998CE" w14:textId="77777777" w:rsidR="00FD0D1A" w:rsidRPr="00F534EA" w:rsidRDefault="00FD0D1A" w:rsidP="00A64D27">
            <w:pPr>
              <w:rPr>
                <w:sz w:val="16"/>
                <w:szCs w:val="16"/>
              </w:rPr>
            </w:pPr>
          </w:p>
        </w:tc>
        <w:tc>
          <w:tcPr>
            <w:tcW w:w="675" w:type="dxa"/>
            <w:vAlign w:val="center"/>
          </w:tcPr>
          <w:p w14:paraId="5017E0B7" w14:textId="77777777" w:rsidR="00FD0D1A" w:rsidRPr="00F534EA" w:rsidRDefault="00FD0D1A" w:rsidP="00A64D27">
            <w:pPr>
              <w:rPr>
                <w:sz w:val="20"/>
                <w:szCs w:val="20"/>
              </w:rPr>
            </w:pPr>
            <w:r w:rsidRPr="00F534EA">
              <w:rPr>
                <w:sz w:val="20"/>
                <w:szCs w:val="20"/>
              </w:rPr>
              <w:t>1960</w:t>
            </w:r>
          </w:p>
        </w:tc>
        <w:tc>
          <w:tcPr>
            <w:tcW w:w="675" w:type="dxa"/>
            <w:vAlign w:val="center"/>
          </w:tcPr>
          <w:p w14:paraId="3F14AA11" w14:textId="77777777" w:rsidR="00FD0D1A" w:rsidRPr="00F534EA" w:rsidRDefault="00FD0D1A" w:rsidP="00A64D27">
            <w:pPr>
              <w:rPr>
                <w:sz w:val="20"/>
                <w:szCs w:val="20"/>
              </w:rPr>
            </w:pPr>
            <w:r w:rsidRPr="00F534EA">
              <w:rPr>
                <w:sz w:val="20"/>
                <w:szCs w:val="20"/>
              </w:rPr>
              <w:t>1992</w:t>
            </w:r>
          </w:p>
        </w:tc>
        <w:tc>
          <w:tcPr>
            <w:tcW w:w="675" w:type="dxa"/>
            <w:vAlign w:val="center"/>
          </w:tcPr>
          <w:p w14:paraId="16CD22FF" w14:textId="77777777" w:rsidR="00FD0D1A" w:rsidRPr="00F534EA" w:rsidRDefault="00FD0D1A" w:rsidP="00A64D27">
            <w:pPr>
              <w:rPr>
                <w:sz w:val="20"/>
                <w:szCs w:val="20"/>
              </w:rPr>
            </w:pPr>
            <w:r w:rsidRPr="00F534EA">
              <w:rPr>
                <w:sz w:val="20"/>
                <w:szCs w:val="20"/>
              </w:rPr>
              <w:t>1998</w:t>
            </w:r>
          </w:p>
        </w:tc>
        <w:tc>
          <w:tcPr>
            <w:tcW w:w="676" w:type="dxa"/>
            <w:vAlign w:val="center"/>
          </w:tcPr>
          <w:p w14:paraId="56C45BCA" w14:textId="77777777" w:rsidR="00FD0D1A" w:rsidRPr="00F534EA" w:rsidRDefault="00FD0D1A" w:rsidP="00A64D27">
            <w:pPr>
              <w:rPr>
                <w:sz w:val="20"/>
                <w:szCs w:val="20"/>
              </w:rPr>
            </w:pPr>
            <w:r w:rsidRPr="00F534EA">
              <w:rPr>
                <w:sz w:val="20"/>
                <w:szCs w:val="20"/>
              </w:rPr>
              <w:t>2004</w:t>
            </w:r>
          </w:p>
        </w:tc>
        <w:tc>
          <w:tcPr>
            <w:tcW w:w="675" w:type="dxa"/>
            <w:vAlign w:val="center"/>
          </w:tcPr>
          <w:p w14:paraId="46023557" w14:textId="77777777" w:rsidR="00FD0D1A" w:rsidRPr="00F534EA" w:rsidRDefault="00FD0D1A" w:rsidP="00A64D27">
            <w:pPr>
              <w:rPr>
                <w:sz w:val="20"/>
                <w:szCs w:val="20"/>
              </w:rPr>
            </w:pPr>
            <w:r w:rsidRPr="00F534EA">
              <w:rPr>
                <w:sz w:val="20"/>
                <w:szCs w:val="20"/>
              </w:rPr>
              <w:t>2010</w:t>
            </w:r>
          </w:p>
        </w:tc>
        <w:tc>
          <w:tcPr>
            <w:tcW w:w="675" w:type="dxa"/>
            <w:vAlign w:val="center"/>
          </w:tcPr>
          <w:p w14:paraId="5DC52617" w14:textId="77777777" w:rsidR="00FD0D1A" w:rsidRPr="00F534EA" w:rsidRDefault="00FD0D1A" w:rsidP="00A64D27">
            <w:pPr>
              <w:rPr>
                <w:sz w:val="20"/>
                <w:szCs w:val="20"/>
              </w:rPr>
            </w:pPr>
            <w:r w:rsidRPr="00F534EA">
              <w:rPr>
                <w:sz w:val="20"/>
                <w:szCs w:val="20"/>
              </w:rPr>
              <w:t>2016</w:t>
            </w:r>
          </w:p>
        </w:tc>
        <w:tc>
          <w:tcPr>
            <w:tcW w:w="689" w:type="dxa"/>
            <w:vAlign w:val="center"/>
          </w:tcPr>
          <w:p w14:paraId="6F53383D" w14:textId="77777777" w:rsidR="00FD0D1A" w:rsidRPr="00F534EA" w:rsidRDefault="00FD0D1A" w:rsidP="00A64D27">
            <w:pPr>
              <w:rPr>
                <w:sz w:val="20"/>
                <w:szCs w:val="20"/>
              </w:rPr>
            </w:pPr>
            <w:r w:rsidRPr="00F534EA">
              <w:rPr>
                <w:sz w:val="20"/>
                <w:szCs w:val="20"/>
              </w:rPr>
              <w:t>1960</w:t>
            </w:r>
          </w:p>
        </w:tc>
        <w:tc>
          <w:tcPr>
            <w:tcW w:w="690" w:type="dxa"/>
            <w:vAlign w:val="center"/>
          </w:tcPr>
          <w:p w14:paraId="66A16DF9" w14:textId="77777777" w:rsidR="00FD0D1A" w:rsidRPr="00F534EA" w:rsidRDefault="00FD0D1A" w:rsidP="00A64D27">
            <w:pPr>
              <w:rPr>
                <w:sz w:val="20"/>
                <w:szCs w:val="20"/>
              </w:rPr>
            </w:pPr>
            <w:r w:rsidRPr="00F534EA">
              <w:rPr>
                <w:sz w:val="20"/>
                <w:szCs w:val="20"/>
              </w:rPr>
              <w:t>1992</w:t>
            </w:r>
          </w:p>
        </w:tc>
        <w:tc>
          <w:tcPr>
            <w:tcW w:w="690" w:type="dxa"/>
            <w:vAlign w:val="center"/>
          </w:tcPr>
          <w:p w14:paraId="5A04E65C" w14:textId="77777777" w:rsidR="00FD0D1A" w:rsidRPr="00F534EA" w:rsidRDefault="00FD0D1A" w:rsidP="00A64D27">
            <w:pPr>
              <w:rPr>
                <w:sz w:val="20"/>
                <w:szCs w:val="20"/>
              </w:rPr>
            </w:pPr>
            <w:r w:rsidRPr="00F534EA">
              <w:rPr>
                <w:sz w:val="20"/>
                <w:szCs w:val="20"/>
              </w:rPr>
              <w:t>1998</w:t>
            </w:r>
          </w:p>
        </w:tc>
        <w:tc>
          <w:tcPr>
            <w:tcW w:w="690" w:type="dxa"/>
            <w:vAlign w:val="center"/>
          </w:tcPr>
          <w:p w14:paraId="09064FC3" w14:textId="77777777" w:rsidR="00FD0D1A" w:rsidRPr="00F534EA" w:rsidRDefault="00FD0D1A" w:rsidP="00A64D27">
            <w:pPr>
              <w:rPr>
                <w:sz w:val="20"/>
                <w:szCs w:val="20"/>
              </w:rPr>
            </w:pPr>
            <w:r w:rsidRPr="00F534EA">
              <w:rPr>
                <w:sz w:val="20"/>
                <w:szCs w:val="20"/>
              </w:rPr>
              <w:t>2004</w:t>
            </w:r>
          </w:p>
        </w:tc>
        <w:tc>
          <w:tcPr>
            <w:tcW w:w="690" w:type="dxa"/>
            <w:vAlign w:val="center"/>
          </w:tcPr>
          <w:p w14:paraId="522E9460" w14:textId="77777777" w:rsidR="00FD0D1A" w:rsidRPr="00F534EA" w:rsidRDefault="00FD0D1A" w:rsidP="00A64D27">
            <w:pPr>
              <w:rPr>
                <w:sz w:val="20"/>
                <w:szCs w:val="20"/>
              </w:rPr>
            </w:pPr>
            <w:r w:rsidRPr="00F534EA">
              <w:rPr>
                <w:sz w:val="20"/>
                <w:szCs w:val="20"/>
              </w:rPr>
              <w:t>2010</w:t>
            </w:r>
          </w:p>
        </w:tc>
        <w:tc>
          <w:tcPr>
            <w:tcW w:w="690" w:type="dxa"/>
            <w:vAlign w:val="center"/>
          </w:tcPr>
          <w:p w14:paraId="5FFF0AFA" w14:textId="77777777" w:rsidR="00FD0D1A" w:rsidRPr="00F534EA" w:rsidRDefault="00FD0D1A" w:rsidP="00A64D27">
            <w:pPr>
              <w:rPr>
                <w:sz w:val="20"/>
                <w:szCs w:val="20"/>
              </w:rPr>
            </w:pPr>
            <w:r w:rsidRPr="00F534EA">
              <w:rPr>
                <w:sz w:val="20"/>
                <w:szCs w:val="20"/>
              </w:rPr>
              <w:t>2016</w:t>
            </w:r>
          </w:p>
        </w:tc>
      </w:tr>
      <w:tr w:rsidR="00FD0D1A" w:rsidRPr="00F534EA" w14:paraId="44BD3564" w14:textId="77777777" w:rsidTr="00A64D27">
        <w:trPr>
          <w:trHeight w:val="1016"/>
        </w:trPr>
        <w:tc>
          <w:tcPr>
            <w:tcW w:w="1080" w:type="dxa"/>
            <w:vAlign w:val="center"/>
          </w:tcPr>
          <w:p w14:paraId="17CAE295" w14:textId="77777777" w:rsidR="00FD0D1A" w:rsidRPr="00F534EA" w:rsidRDefault="00FD0D1A" w:rsidP="00A64D27">
            <w:pPr>
              <w:rPr>
                <w:sz w:val="16"/>
                <w:szCs w:val="16"/>
              </w:rPr>
            </w:pPr>
            <w:r w:rsidRPr="00F534EA">
              <w:rPr>
                <w:sz w:val="16"/>
                <w:szCs w:val="16"/>
              </w:rPr>
              <w:t>TOTAL</w:t>
            </w:r>
          </w:p>
        </w:tc>
        <w:tc>
          <w:tcPr>
            <w:tcW w:w="675" w:type="dxa"/>
            <w:vAlign w:val="center"/>
          </w:tcPr>
          <w:p w14:paraId="5D6322F4" w14:textId="77777777" w:rsidR="00FD0D1A" w:rsidRPr="00F534EA" w:rsidRDefault="00FD0D1A" w:rsidP="00A64D27">
            <w:pPr>
              <w:jc w:val="center"/>
              <w:rPr>
                <w:sz w:val="20"/>
                <w:szCs w:val="20"/>
              </w:rPr>
            </w:pPr>
            <w:r w:rsidRPr="00F534EA">
              <w:rPr>
                <w:sz w:val="20"/>
                <w:szCs w:val="20"/>
              </w:rPr>
              <w:t>17</w:t>
            </w:r>
          </w:p>
        </w:tc>
        <w:tc>
          <w:tcPr>
            <w:tcW w:w="675" w:type="dxa"/>
            <w:vAlign w:val="center"/>
          </w:tcPr>
          <w:p w14:paraId="3F40C6A7" w14:textId="77777777" w:rsidR="00FD0D1A" w:rsidRPr="00F534EA" w:rsidRDefault="00FD0D1A" w:rsidP="00A64D27">
            <w:pPr>
              <w:jc w:val="center"/>
              <w:rPr>
                <w:sz w:val="20"/>
                <w:szCs w:val="20"/>
              </w:rPr>
            </w:pPr>
            <w:r w:rsidRPr="00F534EA">
              <w:rPr>
                <w:sz w:val="20"/>
                <w:szCs w:val="20"/>
              </w:rPr>
              <w:t>33</w:t>
            </w:r>
          </w:p>
        </w:tc>
        <w:tc>
          <w:tcPr>
            <w:tcW w:w="675" w:type="dxa"/>
            <w:vAlign w:val="center"/>
          </w:tcPr>
          <w:p w14:paraId="3311D09B" w14:textId="77777777" w:rsidR="00FD0D1A" w:rsidRPr="00F534EA" w:rsidRDefault="00FD0D1A" w:rsidP="00A64D27">
            <w:pPr>
              <w:jc w:val="center"/>
              <w:rPr>
                <w:sz w:val="20"/>
                <w:szCs w:val="20"/>
              </w:rPr>
            </w:pPr>
            <w:r w:rsidRPr="00F534EA">
              <w:rPr>
                <w:sz w:val="20"/>
                <w:szCs w:val="20"/>
              </w:rPr>
              <w:t>51</w:t>
            </w:r>
          </w:p>
        </w:tc>
        <w:tc>
          <w:tcPr>
            <w:tcW w:w="676" w:type="dxa"/>
            <w:vAlign w:val="center"/>
          </w:tcPr>
          <w:p w14:paraId="4D7C9F47" w14:textId="77777777" w:rsidR="00FD0D1A" w:rsidRPr="00F534EA" w:rsidRDefault="00FD0D1A" w:rsidP="00A64D27">
            <w:pPr>
              <w:jc w:val="center"/>
              <w:rPr>
                <w:sz w:val="20"/>
                <w:szCs w:val="20"/>
              </w:rPr>
            </w:pPr>
            <w:r w:rsidRPr="00F534EA">
              <w:rPr>
                <w:sz w:val="20"/>
                <w:szCs w:val="20"/>
              </w:rPr>
              <w:t>64</w:t>
            </w:r>
          </w:p>
        </w:tc>
        <w:tc>
          <w:tcPr>
            <w:tcW w:w="675" w:type="dxa"/>
            <w:vAlign w:val="center"/>
          </w:tcPr>
          <w:p w14:paraId="40F73FE2" w14:textId="77777777" w:rsidR="00FD0D1A" w:rsidRPr="00F534EA" w:rsidRDefault="00FD0D1A" w:rsidP="00A64D27">
            <w:pPr>
              <w:jc w:val="center"/>
              <w:rPr>
                <w:sz w:val="20"/>
                <w:szCs w:val="20"/>
              </w:rPr>
            </w:pPr>
            <w:r w:rsidRPr="00F534EA">
              <w:rPr>
                <w:sz w:val="20"/>
                <w:szCs w:val="20"/>
              </w:rPr>
              <w:t>61</w:t>
            </w:r>
          </w:p>
        </w:tc>
        <w:tc>
          <w:tcPr>
            <w:tcW w:w="675" w:type="dxa"/>
            <w:vAlign w:val="center"/>
          </w:tcPr>
          <w:p w14:paraId="685A99D1" w14:textId="77777777" w:rsidR="00FD0D1A" w:rsidRPr="00F534EA" w:rsidRDefault="00FD0D1A" w:rsidP="00A64D27">
            <w:pPr>
              <w:jc w:val="center"/>
              <w:rPr>
                <w:sz w:val="20"/>
                <w:szCs w:val="20"/>
              </w:rPr>
            </w:pPr>
            <w:r w:rsidRPr="00F534EA">
              <w:rPr>
                <w:sz w:val="20"/>
                <w:szCs w:val="20"/>
              </w:rPr>
              <w:t>7</w:t>
            </w:r>
            <w:r>
              <w:rPr>
                <w:sz w:val="20"/>
                <w:szCs w:val="20"/>
              </w:rPr>
              <w:t>1</w:t>
            </w:r>
          </w:p>
        </w:tc>
        <w:tc>
          <w:tcPr>
            <w:tcW w:w="689" w:type="dxa"/>
            <w:vAlign w:val="center"/>
          </w:tcPr>
          <w:p w14:paraId="76CBC329" w14:textId="77777777" w:rsidR="00FD0D1A" w:rsidRPr="00F534EA" w:rsidRDefault="00FD0D1A" w:rsidP="00A64D27">
            <w:pPr>
              <w:jc w:val="center"/>
              <w:rPr>
                <w:sz w:val="20"/>
                <w:szCs w:val="20"/>
              </w:rPr>
            </w:pPr>
            <w:r w:rsidRPr="00F534EA">
              <w:rPr>
                <w:sz w:val="20"/>
                <w:szCs w:val="20"/>
              </w:rPr>
              <w:t>451</w:t>
            </w:r>
          </w:p>
        </w:tc>
        <w:tc>
          <w:tcPr>
            <w:tcW w:w="690" w:type="dxa"/>
            <w:vAlign w:val="center"/>
          </w:tcPr>
          <w:p w14:paraId="020AECBE" w14:textId="77777777" w:rsidR="00FD0D1A" w:rsidRPr="00F534EA" w:rsidRDefault="00FD0D1A" w:rsidP="00A64D27">
            <w:pPr>
              <w:jc w:val="center"/>
              <w:rPr>
                <w:sz w:val="20"/>
                <w:szCs w:val="20"/>
              </w:rPr>
            </w:pPr>
            <w:r w:rsidRPr="00F534EA">
              <w:rPr>
                <w:sz w:val="20"/>
                <w:szCs w:val="20"/>
              </w:rPr>
              <w:t>2409</w:t>
            </w:r>
          </w:p>
        </w:tc>
        <w:tc>
          <w:tcPr>
            <w:tcW w:w="690" w:type="dxa"/>
            <w:vAlign w:val="center"/>
          </w:tcPr>
          <w:p w14:paraId="7828D76A" w14:textId="77777777" w:rsidR="00FD0D1A" w:rsidRPr="00F534EA" w:rsidRDefault="00FD0D1A" w:rsidP="00A64D27">
            <w:pPr>
              <w:jc w:val="center"/>
              <w:rPr>
                <w:sz w:val="20"/>
                <w:szCs w:val="20"/>
              </w:rPr>
            </w:pPr>
            <w:r w:rsidRPr="00F534EA">
              <w:rPr>
                <w:sz w:val="20"/>
                <w:szCs w:val="20"/>
              </w:rPr>
              <w:t>2385</w:t>
            </w:r>
          </w:p>
        </w:tc>
        <w:tc>
          <w:tcPr>
            <w:tcW w:w="690" w:type="dxa"/>
            <w:vAlign w:val="center"/>
          </w:tcPr>
          <w:p w14:paraId="51DCE5A9" w14:textId="77777777" w:rsidR="00FD0D1A" w:rsidRPr="00F534EA" w:rsidRDefault="00FD0D1A" w:rsidP="00A64D27">
            <w:pPr>
              <w:jc w:val="center"/>
              <w:rPr>
                <w:sz w:val="20"/>
                <w:szCs w:val="20"/>
              </w:rPr>
            </w:pPr>
            <w:r w:rsidRPr="00F534EA">
              <w:rPr>
                <w:sz w:val="20"/>
                <w:szCs w:val="20"/>
              </w:rPr>
              <w:t>2592</w:t>
            </w:r>
          </w:p>
        </w:tc>
        <w:tc>
          <w:tcPr>
            <w:tcW w:w="690" w:type="dxa"/>
            <w:vAlign w:val="center"/>
          </w:tcPr>
          <w:p w14:paraId="22636162" w14:textId="77777777" w:rsidR="00FD0D1A" w:rsidRPr="00F534EA" w:rsidRDefault="00FD0D1A" w:rsidP="00A64D27">
            <w:pPr>
              <w:jc w:val="center"/>
              <w:rPr>
                <w:sz w:val="20"/>
                <w:szCs w:val="20"/>
              </w:rPr>
            </w:pPr>
            <w:r w:rsidRPr="00F534EA">
              <w:rPr>
                <w:iCs/>
                <w:sz w:val="20"/>
                <w:szCs w:val="20"/>
              </w:rPr>
              <w:t>3123</w:t>
            </w:r>
          </w:p>
        </w:tc>
        <w:tc>
          <w:tcPr>
            <w:tcW w:w="690" w:type="dxa"/>
            <w:vAlign w:val="center"/>
          </w:tcPr>
          <w:p w14:paraId="599BB009" w14:textId="77777777" w:rsidR="00FD0D1A" w:rsidRPr="00F534EA" w:rsidRDefault="00FD0D1A" w:rsidP="00A64D27">
            <w:pPr>
              <w:jc w:val="center"/>
              <w:rPr>
                <w:sz w:val="20"/>
                <w:szCs w:val="20"/>
              </w:rPr>
            </w:pPr>
            <w:r>
              <w:rPr>
                <w:iCs/>
                <w:sz w:val="20"/>
                <w:szCs w:val="20"/>
              </w:rPr>
              <w:t>3265</w:t>
            </w:r>
          </w:p>
        </w:tc>
      </w:tr>
      <w:tr w:rsidR="00FD0D1A" w:rsidRPr="00F534EA" w14:paraId="234D54A5" w14:textId="77777777" w:rsidTr="00A64D27">
        <w:trPr>
          <w:trHeight w:val="1016"/>
        </w:trPr>
        <w:tc>
          <w:tcPr>
            <w:tcW w:w="1080" w:type="dxa"/>
            <w:vAlign w:val="center"/>
          </w:tcPr>
          <w:p w14:paraId="29B61B4A" w14:textId="77777777" w:rsidR="00FD0D1A" w:rsidRPr="00F534EA" w:rsidRDefault="00FD0D1A" w:rsidP="00A64D27">
            <w:pPr>
              <w:rPr>
                <w:sz w:val="16"/>
                <w:szCs w:val="16"/>
              </w:rPr>
            </w:pPr>
            <w:r w:rsidRPr="00F534EA">
              <w:rPr>
                <w:sz w:val="16"/>
                <w:szCs w:val="16"/>
              </w:rPr>
              <w:t>ABSOLUTE IN</w:t>
            </w:r>
            <w:r>
              <w:rPr>
                <w:sz w:val="16"/>
                <w:szCs w:val="16"/>
              </w:rPr>
              <w:t>CREASE</w:t>
            </w:r>
          </w:p>
        </w:tc>
        <w:tc>
          <w:tcPr>
            <w:tcW w:w="675" w:type="dxa"/>
            <w:vAlign w:val="center"/>
          </w:tcPr>
          <w:p w14:paraId="4A41B72E" w14:textId="77777777" w:rsidR="00FD0D1A" w:rsidRPr="00F534EA" w:rsidRDefault="00FD0D1A" w:rsidP="00A64D27">
            <w:pPr>
              <w:jc w:val="center"/>
              <w:rPr>
                <w:sz w:val="20"/>
                <w:szCs w:val="20"/>
              </w:rPr>
            </w:pPr>
            <w:r w:rsidRPr="00F534EA">
              <w:rPr>
                <w:sz w:val="20"/>
                <w:szCs w:val="20"/>
              </w:rPr>
              <w:t>---</w:t>
            </w:r>
          </w:p>
        </w:tc>
        <w:tc>
          <w:tcPr>
            <w:tcW w:w="675" w:type="dxa"/>
            <w:vAlign w:val="center"/>
          </w:tcPr>
          <w:p w14:paraId="561D3C9F" w14:textId="77777777" w:rsidR="00FD0D1A" w:rsidRPr="00F534EA" w:rsidRDefault="00FD0D1A" w:rsidP="00A64D27">
            <w:pPr>
              <w:jc w:val="center"/>
              <w:rPr>
                <w:sz w:val="20"/>
                <w:szCs w:val="20"/>
              </w:rPr>
            </w:pPr>
            <w:r w:rsidRPr="00F534EA">
              <w:rPr>
                <w:sz w:val="20"/>
                <w:szCs w:val="20"/>
              </w:rPr>
              <w:t>16</w:t>
            </w:r>
          </w:p>
        </w:tc>
        <w:tc>
          <w:tcPr>
            <w:tcW w:w="675" w:type="dxa"/>
            <w:vAlign w:val="center"/>
          </w:tcPr>
          <w:p w14:paraId="3AAB8298" w14:textId="77777777" w:rsidR="00FD0D1A" w:rsidRPr="00F534EA" w:rsidRDefault="00FD0D1A" w:rsidP="00A64D27">
            <w:pPr>
              <w:jc w:val="center"/>
              <w:rPr>
                <w:sz w:val="20"/>
                <w:szCs w:val="20"/>
              </w:rPr>
            </w:pPr>
            <w:r w:rsidRPr="00F534EA">
              <w:rPr>
                <w:sz w:val="20"/>
                <w:szCs w:val="20"/>
              </w:rPr>
              <w:t>18</w:t>
            </w:r>
          </w:p>
        </w:tc>
        <w:tc>
          <w:tcPr>
            <w:tcW w:w="676" w:type="dxa"/>
            <w:vAlign w:val="center"/>
          </w:tcPr>
          <w:p w14:paraId="60BDCB19" w14:textId="77777777" w:rsidR="00FD0D1A" w:rsidRPr="00F534EA" w:rsidRDefault="00FD0D1A" w:rsidP="00A64D27">
            <w:pPr>
              <w:jc w:val="center"/>
              <w:rPr>
                <w:sz w:val="20"/>
                <w:szCs w:val="20"/>
              </w:rPr>
            </w:pPr>
            <w:r w:rsidRPr="00F534EA">
              <w:rPr>
                <w:sz w:val="20"/>
                <w:szCs w:val="20"/>
              </w:rPr>
              <w:t>13</w:t>
            </w:r>
          </w:p>
        </w:tc>
        <w:tc>
          <w:tcPr>
            <w:tcW w:w="675" w:type="dxa"/>
            <w:vAlign w:val="center"/>
          </w:tcPr>
          <w:p w14:paraId="6C255BAA" w14:textId="77777777" w:rsidR="00FD0D1A" w:rsidRPr="00F534EA" w:rsidRDefault="00FD0D1A" w:rsidP="00A64D27">
            <w:pPr>
              <w:jc w:val="center"/>
              <w:rPr>
                <w:sz w:val="20"/>
                <w:szCs w:val="20"/>
              </w:rPr>
            </w:pPr>
            <w:r w:rsidRPr="00F534EA">
              <w:rPr>
                <w:sz w:val="20"/>
                <w:szCs w:val="20"/>
              </w:rPr>
              <w:t>-3</w:t>
            </w:r>
          </w:p>
        </w:tc>
        <w:tc>
          <w:tcPr>
            <w:tcW w:w="675" w:type="dxa"/>
            <w:vAlign w:val="center"/>
          </w:tcPr>
          <w:p w14:paraId="703A83F0" w14:textId="77777777" w:rsidR="00FD0D1A" w:rsidRPr="00F534EA" w:rsidRDefault="00FD0D1A" w:rsidP="00A64D27">
            <w:pPr>
              <w:jc w:val="center"/>
              <w:rPr>
                <w:sz w:val="20"/>
                <w:szCs w:val="20"/>
              </w:rPr>
            </w:pPr>
            <w:r>
              <w:rPr>
                <w:sz w:val="20"/>
                <w:szCs w:val="20"/>
              </w:rPr>
              <w:t>10</w:t>
            </w:r>
          </w:p>
        </w:tc>
        <w:tc>
          <w:tcPr>
            <w:tcW w:w="689" w:type="dxa"/>
            <w:vAlign w:val="center"/>
          </w:tcPr>
          <w:p w14:paraId="0FE47FB5" w14:textId="77777777" w:rsidR="00FD0D1A" w:rsidRPr="00F534EA" w:rsidRDefault="00FD0D1A" w:rsidP="00A64D27">
            <w:pPr>
              <w:jc w:val="center"/>
              <w:rPr>
                <w:sz w:val="20"/>
                <w:szCs w:val="20"/>
              </w:rPr>
            </w:pPr>
            <w:r w:rsidRPr="00F534EA">
              <w:rPr>
                <w:sz w:val="20"/>
                <w:szCs w:val="20"/>
              </w:rPr>
              <w:t>---</w:t>
            </w:r>
          </w:p>
        </w:tc>
        <w:tc>
          <w:tcPr>
            <w:tcW w:w="690" w:type="dxa"/>
            <w:vAlign w:val="center"/>
          </w:tcPr>
          <w:p w14:paraId="4C03FD6C" w14:textId="77777777" w:rsidR="00FD0D1A" w:rsidRPr="00F534EA" w:rsidRDefault="00FD0D1A" w:rsidP="00A64D27">
            <w:pPr>
              <w:jc w:val="center"/>
              <w:rPr>
                <w:sz w:val="20"/>
                <w:szCs w:val="20"/>
              </w:rPr>
            </w:pPr>
            <w:r w:rsidRPr="00F534EA">
              <w:rPr>
                <w:sz w:val="20"/>
                <w:szCs w:val="20"/>
              </w:rPr>
              <w:t>1958</w:t>
            </w:r>
          </w:p>
        </w:tc>
        <w:tc>
          <w:tcPr>
            <w:tcW w:w="690" w:type="dxa"/>
            <w:vAlign w:val="center"/>
          </w:tcPr>
          <w:p w14:paraId="501DFAB1" w14:textId="77777777" w:rsidR="00FD0D1A" w:rsidRPr="00F534EA" w:rsidRDefault="00FD0D1A" w:rsidP="00A64D27">
            <w:pPr>
              <w:jc w:val="center"/>
              <w:rPr>
                <w:sz w:val="20"/>
                <w:szCs w:val="20"/>
              </w:rPr>
            </w:pPr>
            <w:r w:rsidRPr="00F534EA">
              <w:rPr>
                <w:sz w:val="20"/>
                <w:szCs w:val="20"/>
              </w:rPr>
              <w:t>-24</w:t>
            </w:r>
          </w:p>
        </w:tc>
        <w:tc>
          <w:tcPr>
            <w:tcW w:w="690" w:type="dxa"/>
            <w:vAlign w:val="center"/>
          </w:tcPr>
          <w:p w14:paraId="292725B4" w14:textId="77777777" w:rsidR="00FD0D1A" w:rsidRPr="00F534EA" w:rsidRDefault="00FD0D1A" w:rsidP="00A64D27">
            <w:pPr>
              <w:jc w:val="center"/>
              <w:rPr>
                <w:sz w:val="20"/>
                <w:szCs w:val="20"/>
              </w:rPr>
            </w:pPr>
            <w:r w:rsidRPr="00F534EA">
              <w:rPr>
                <w:sz w:val="20"/>
                <w:szCs w:val="20"/>
              </w:rPr>
              <w:t>207</w:t>
            </w:r>
          </w:p>
        </w:tc>
        <w:tc>
          <w:tcPr>
            <w:tcW w:w="690" w:type="dxa"/>
            <w:vAlign w:val="center"/>
          </w:tcPr>
          <w:p w14:paraId="5DDE3637" w14:textId="77777777" w:rsidR="00FD0D1A" w:rsidRPr="00F534EA" w:rsidRDefault="00FD0D1A" w:rsidP="00A64D27">
            <w:pPr>
              <w:jc w:val="center"/>
              <w:rPr>
                <w:sz w:val="20"/>
                <w:szCs w:val="20"/>
              </w:rPr>
            </w:pPr>
            <w:r w:rsidRPr="00F534EA">
              <w:rPr>
                <w:sz w:val="20"/>
                <w:szCs w:val="20"/>
              </w:rPr>
              <w:t>531</w:t>
            </w:r>
          </w:p>
        </w:tc>
        <w:tc>
          <w:tcPr>
            <w:tcW w:w="690" w:type="dxa"/>
            <w:vAlign w:val="center"/>
          </w:tcPr>
          <w:p w14:paraId="30D2D54A" w14:textId="77777777" w:rsidR="00FD0D1A" w:rsidRPr="00F534EA" w:rsidRDefault="00FD0D1A" w:rsidP="00A64D27">
            <w:pPr>
              <w:jc w:val="center"/>
              <w:rPr>
                <w:sz w:val="20"/>
                <w:szCs w:val="20"/>
              </w:rPr>
            </w:pPr>
            <w:r>
              <w:rPr>
                <w:sz w:val="20"/>
                <w:szCs w:val="20"/>
              </w:rPr>
              <w:t>142</w:t>
            </w:r>
          </w:p>
        </w:tc>
      </w:tr>
      <w:tr w:rsidR="00FD0D1A" w:rsidRPr="00F534EA" w14:paraId="1AC8404A" w14:textId="77777777" w:rsidTr="00A64D27">
        <w:trPr>
          <w:trHeight w:val="1016"/>
        </w:trPr>
        <w:tc>
          <w:tcPr>
            <w:tcW w:w="1080" w:type="dxa"/>
            <w:vAlign w:val="center"/>
          </w:tcPr>
          <w:p w14:paraId="68B512D5" w14:textId="77777777" w:rsidR="00FD0D1A" w:rsidRPr="00F534EA" w:rsidRDefault="00FD0D1A" w:rsidP="00A64D27">
            <w:pPr>
              <w:rPr>
                <w:sz w:val="16"/>
                <w:szCs w:val="16"/>
              </w:rPr>
            </w:pPr>
            <w:r>
              <w:rPr>
                <w:sz w:val="16"/>
                <w:szCs w:val="16"/>
              </w:rPr>
              <w:t>PERCENT INCREASE</w:t>
            </w:r>
          </w:p>
        </w:tc>
        <w:tc>
          <w:tcPr>
            <w:tcW w:w="675" w:type="dxa"/>
            <w:vAlign w:val="center"/>
          </w:tcPr>
          <w:p w14:paraId="05A06DDE" w14:textId="77777777" w:rsidR="00FD0D1A" w:rsidRPr="00F534EA" w:rsidRDefault="00FD0D1A" w:rsidP="00A64D27">
            <w:pPr>
              <w:jc w:val="center"/>
              <w:rPr>
                <w:sz w:val="20"/>
                <w:szCs w:val="20"/>
              </w:rPr>
            </w:pPr>
            <w:r>
              <w:rPr>
                <w:sz w:val="20"/>
                <w:szCs w:val="20"/>
              </w:rPr>
              <w:t>---</w:t>
            </w:r>
          </w:p>
        </w:tc>
        <w:tc>
          <w:tcPr>
            <w:tcW w:w="675" w:type="dxa"/>
            <w:vAlign w:val="center"/>
          </w:tcPr>
          <w:p w14:paraId="76A3941E" w14:textId="77777777" w:rsidR="00FD0D1A" w:rsidRPr="00F534EA" w:rsidRDefault="00FD0D1A" w:rsidP="00A64D27">
            <w:pPr>
              <w:jc w:val="center"/>
              <w:rPr>
                <w:sz w:val="20"/>
                <w:szCs w:val="20"/>
              </w:rPr>
            </w:pPr>
            <w:r>
              <w:rPr>
                <w:sz w:val="20"/>
                <w:szCs w:val="20"/>
              </w:rPr>
              <w:t>94%</w:t>
            </w:r>
          </w:p>
        </w:tc>
        <w:tc>
          <w:tcPr>
            <w:tcW w:w="675" w:type="dxa"/>
            <w:vAlign w:val="center"/>
          </w:tcPr>
          <w:p w14:paraId="7C76451F" w14:textId="77777777" w:rsidR="00FD0D1A" w:rsidRPr="00F534EA" w:rsidRDefault="00FD0D1A" w:rsidP="00A64D27">
            <w:pPr>
              <w:jc w:val="center"/>
              <w:rPr>
                <w:sz w:val="20"/>
                <w:szCs w:val="20"/>
              </w:rPr>
            </w:pPr>
            <w:r>
              <w:rPr>
                <w:sz w:val="20"/>
                <w:szCs w:val="20"/>
              </w:rPr>
              <w:t>55%</w:t>
            </w:r>
          </w:p>
        </w:tc>
        <w:tc>
          <w:tcPr>
            <w:tcW w:w="676" w:type="dxa"/>
            <w:vAlign w:val="center"/>
          </w:tcPr>
          <w:p w14:paraId="6046AAC6" w14:textId="77777777" w:rsidR="00FD0D1A" w:rsidRPr="00F534EA" w:rsidRDefault="00FD0D1A" w:rsidP="00A64D27">
            <w:pPr>
              <w:jc w:val="center"/>
              <w:rPr>
                <w:sz w:val="20"/>
                <w:szCs w:val="20"/>
              </w:rPr>
            </w:pPr>
            <w:r>
              <w:rPr>
                <w:sz w:val="20"/>
                <w:szCs w:val="20"/>
              </w:rPr>
              <w:t>26%</w:t>
            </w:r>
          </w:p>
        </w:tc>
        <w:tc>
          <w:tcPr>
            <w:tcW w:w="675" w:type="dxa"/>
            <w:vAlign w:val="center"/>
          </w:tcPr>
          <w:p w14:paraId="12125928" w14:textId="77777777" w:rsidR="00FD0D1A" w:rsidRPr="00F534EA" w:rsidRDefault="00FD0D1A" w:rsidP="00A64D27">
            <w:pPr>
              <w:jc w:val="center"/>
              <w:rPr>
                <w:sz w:val="20"/>
                <w:szCs w:val="20"/>
              </w:rPr>
            </w:pPr>
            <w:r>
              <w:rPr>
                <w:sz w:val="20"/>
                <w:szCs w:val="20"/>
              </w:rPr>
              <w:t>-5%</w:t>
            </w:r>
          </w:p>
        </w:tc>
        <w:tc>
          <w:tcPr>
            <w:tcW w:w="675" w:type="dxa"/>
            <w:vAlign w:val="center"/>
          </w:tcPr>
          <w:p w14:paraId="64F3043C" w14:textId="77777777" w:rsidR="00FD0D1A" w:rsidRDefault="00FD0D1A" w:rsidP="00A64D27">
            <w:pPr>
              <w:jc w:val="center"/>
              <w:rPr>
                <w:sz w:val="20"/>
                <w:szCs w:val="20"/>
              </w:rPr>
            </w:pPr>
            <w:r>
              <w:rPr>
                <w:sz w:val="20"/>
                <w:szCs w:val="20"/>
              </w:rPr>
              <w:t>16%</w:t>
            </w:r>
          </w:p>
        </w:tc>
        <w:tc>
          <w:tcPr>
            <w:tcW w:w="689" w:type="dxa"/>
            <w:vAlign w:val="center"/>
          </w:tcPr>
          <w:p w14:paraId="59F64E2F" w14:textId="77777777" w:rsidR="00FD0D1A" w:rsidRPr="00F534EA" w:rsidRDefault="00FD0D1A" w:rsidP="00A64D27">
            <w:pPr>
              <w:jc w:val="center"/>
              <w:rPr>
                <w:sz w:val="20"/>
                <w:szCs w:val="20"/>
              </w:rPr>
            </w:pPr>
            <w:r>
              <w:rPr>
                <w:sz w:val="20"/>
                <w:szCs w:val="20"/>
              </w:rPr>
              <w:t>---</w:t>
            </w:r>
          </w:p>
        </w:tc>
        <w:tc>
          <w:tcPr>
            <w:tcW w:w="690" w:type="dxa"/>
            <w:vAlign w:val="center"/>
          </w:tcPr>
          <w:p w14:paraId="5922397D" w14:textId="77777777" w:rsidR="00FD0D1A" w:rsidRPr="00F534EA" w:rsidRDefault="00FD0D1A" w:rsidP="00A64D27">
            <w:pPr>
              <w:rPr>
                <w:sz w:val="20"/>
                <w:szCs w:val="20"/>
              </w:rPr>
            </w:pPr>
            <w:r>
              <w:rPr>
                <w:sz w:val="20"/>
                <w:szCs w:val="20"/>
              </w:rPr>
              <w:t>434%</w:t>
            </w:r>
          </w:p>
        </w:tc>
        <w:tc>
          <w:tcPr>
            <w:tcW w:w="690" w:type="dxa"/>
            <w:vAlign w:val="center"/>
          </w:tcPr>
          <w:p w14:paraId="11045724" w14:textId="77777777" w:rsidR="00FD0D1A" w:rsidRPr="00F534EA" w:rsidRDefault="00FD0D1A" w:rsidP="00A64D27">
            <w:pPr>
              <w:jc w:val="center"/>
              <w:rPr>
                <w:sz w:val="20"/>
                <w:szCs w:val="20"/>
              </w:rPr>
            </w:pPr>
            <w:r>
              <w:rPr>
                <w:sz w:val="20"/>
                <w:szCs w:val="20"/>
              </w:rPr>
              <w:t>-1%</w:t>
            </w:r>
          </w:p>
        </w:tc>
        <w:tc>
          <w:tcPr>
            <w:tcW w:w="690" w:type="dxa"/>
            <w:vAlign w:val="center"/>
          </w:tcPr>
          <w:p w14:paraId="6E8FB4AD" w14:textId="77777777" w:rsidR="00FD0D1A" w:rsidRPr="00F534EA" w:rsidRDefault="00FD0D1A" w:rsidP="00A64D27">
            <w:pPr>
              <w:jc w:val="center"/>
              <w:rPr>
                <w:sz w:val="20"/>
                <w:szCs w:val="20"/>
              </w:rPr>
            </w:pPr>
            <w:r>
              <w:rPr>
                <w:sz w:val="20"/>
                <w:szCs w:val="20"/>
              </w:rPr>
              <w:t>9%</w:t>
            </w:r>
          </w:p>
        </w:tc>
        <w:tc>
          <w:tcPr>
            <w:tcW w:w="690" w:type="dxa"/>
            <w:vAlign w:val="center"/>
          </w:tcPr>
          <w:p w14:paraId="1A133E52" w14:textId="77777777" w:rsidR="00FD0D1A" w:rsidRPr="00F534EA" w:rsidRDefault="00FD0D1A" w:rsidP="00A64D27">
            <w:pPr>
              <w:jc w:val="center"/>
              <w:rPr>
                <w:sz w:val="20"/>
                <w:szCs w:val="20"/>
              </w:rPr>
            </w:pPr>
            <w:r>
              <w:rPr>
                <w:sz w:val="20"/>
                <w:szCs w:val="20"/>
              </w:rPr>
              <w:t>21%</w:t>
            </w:r>
          </w:p>
        </w:tc>
        <w:tc>
          <w:tcPr>
            <w:tcW w:w="690" w:type="dxa"/>
            <w:vAlign w:val="center"/>
          </w:tcPr>
          <w:p w14:paraId="6F4A91CC" w14:textId="77777777" w:rsidR="00FD0D1A" w:rsidRPr="00F534EA" w:rsidRDefault="00FD0D1A" w:rsidP="00A64D27">
            <w:pPr>
              <w:jc w:val="center"/>
              <w:rPr>
                <w:sz w:val="20"/>
                <w:szCs w:val="20"/>
              </w:rPr>
            </w:pPr>
            <w:r>
              <w:rPr>
                <w:sz w:val="20"/>
                <w:szCs w:val="20"/>
              </w:rPr>
              <w:t>3%</w:t>
            </w:r>
          </w:p>
        </w:tc>
      </w:tr>
    </w:tbl>
    <w:p w14:paraId="0F57100E" w14:textId="77777777" w:rsidR="00FD0D1A" w:rsidRDefault="00FD0D1A" w:rsidP="00FD0D1A">
      <w:pPr>
        <w:suppressAutoHyphens/>
        <w:spacing w:line="480" w:lineRule="auto"/>
        <w:rPr>
          <w:rFonts w:eastAsia="Times New Roman"/>
          <w:color w:val="000000"/>
          <w:sz w:val="22"/>
          <w:szCs w:val="22"/>
          <w:shd w:val="clear" w:color="auto" w:fill="FFFFFF"/>
        </w:rPr>
      </w:pPr>
    </w:p>
    <w:p w14:paraId="58E4BF77" w14:textId="49320B7A" w:rsidR="00A67372" w:rsidRDefault="00A67372" w:rsidP="008D3A79">
      <w:pPr>
        <w:suppressAutoHyphens/>
        <w:spacing w:line="480" w:lineRule="auto"/>
        <w:ind w:firstLine="432"/>
        <w:rPr>
          <w:color w:val="000000" w:themeColor="text1"/>
        </w:rPr>
      </w:pPr>
    </w:p>
    <w:p w14:paraId="3CD28EAA" w14:textId="58098E3F" w:rsidR="001036D7" w:rsidRDefault="008D3A79" w:rsidP="001E5FE5">
      <w:pPr>
        <w:suppressAutoHyphens/>
        <w:spacing w:line="480" w:lineRule="auto"/>
        <w:ind w:firstLine="360"/>
        <w:rPr>
          <w:color w:val="000000" w:themeColor="text1"/>
        </w:rPr>
      </w:pPr>
      <w:r>
        <w:rPr>
          <w:color w:val="000000" w:themeColor="text1"/>
        </w:rPr>
        <w:t xml:space="preserve">Presidents </w:t>
      </w:r>
      <w:r w:rsidR="001E5FE5">
        <w:rPr>
          <w:color w:val="000000" w:themeColor="text1"/>
        </w:rPr>
        <w:t>usually criticize</w:t>
      </w:r>
      <w:r>
        <w:rPr>
          <w:color w:val="000000" w:themeColor="text1"/>
        </w:rPr>
        <w:t xml:space="preserve"> big government during their campaigns</w:t>
      </w:r>
      <w:r w:rsidR="00FD0D1A">
        <w:rPr>
          <w:color w:val="000000" w:themeColor="text1"/>
        </w:rPr>
        <w:t xml:space="preserve"> and </w:t>
      </w:r>
      <w:r w:rsidR="001E5FE5">
        <w:rPr>
          <w:color w:val="000000" w:themeColor="text1"/>
        </w:rPr>
        <w:t xml:space="preserve">often create reform </w:t>
      </w:r>
      <w:r w:rsidR="00FD0D1A">
        <w:rPr>
          <w:color w:val="000000" w:themeColor="text1"/>
        </w:rPr>
        <w:t xml:space="preserve">SWAT teams of the kind now headed by presidential advisor and son-in-law, Jared Kushner to create a government as good </w:t>
      </w:r>
      <w:r w:rsidR="001E5FE5">
        <w:rPr>
          <w:color w:val="000000" w:themeColor="text1"/>
        </w:rPr>
        <w:t xml:space="preserve">or one that works better and costs less, </w:t>
      </w:r>
      <w:r>
        <w:rPr>
          <w:color w:val="000000" w:themeColor="text1"/>
        </w:rPr>
        <w:t xml:space="preserve">but </w:t>
      </w:r>
      <w:r w:rsidR="005C14D3">
        <w:rPr>
          <w:color w:val="000000" w:themeColor="text1"/>
        </w:rPr>
        <w:t xml:space="preserve">always create new layers </w:t>
      </w:r>
      <w:r w:rsidR="0060570F">
        <w:rPr>
          <w:color w:val="000000" w:themeColor="text1"/>
        </w:rPr>
        <w:t>at the top</w:t>
      </w:r>
      <w:r w:rsidR="001E5FE5">
        <w:rPr>
          <w:color w:val="000000" w:themeColor="text1"/>
        </w:rPr>
        <w:t xml:space="preserve"> of the hierarchy.  For example, </w:t>
      </w:r>
      <w:r>
        <w:rPr>
          <w:color w:val="000000" w:themeColor="text1"/>
        </w:rPr>
        <w:t xml:space="preserve">Ronald Reagan entered office </w:t>
      </w:r>
      <w:r w:rsidR="00A67372">
        <w:rPr>
          <w:color w:val="000000" w:themeColor="text1"/>
        </w:rPr>
        <w:t>having promised to abolish two</w:t>
      </w:r>
      <w:r w:rsidR="0060570F">
        <w:rPr>
          <w:color w:val="000000" w:themeColor="text1"/>
        </w:rPr>
        <w:t xml:space="preserve"> of the 14 departments he inherited, but left office </w:t>
      </w:r>
      <w:r w:rsidR="00A67372">
        <w:rPr>
          <w:color w:val="000000" w:themeColor="text1"/>
        </w:rPr>
        <w:t>with 15</w:t>
      </w:r>
      <w:r w:rsidR="005C14D3">
        <w:rPr>
          <w:color w:val="000000" w:themeColor="text1"/>
        </w:rPr>
        <w:t xml:space="preserve">; George W. Bush shaved off three layers between 2004 and 2010, but had a net increase of seven; and much as </w:t>
      </w:r>
      <w:r w:rsidR="00A67372">
        <w:rPr>
          <w:color w:val="000000" w:themeColor="text1"/>
        </w:rPr>
        <w:t xml:space="preserve">Barack Obama </w:t>
      </w:r>
      <w:r w:rsidR="00973686">
        <w:rPr>
          <w:color w:val="000000" w:themeColor="text1"/>
        </w:rPr>
        <w:t xml:space="preserve">complained about the ridiculous duplication and overlap </w:t>
      </w:r>
      <w:r w:rsidR="00191D51">
        <w:rPr>
          <w:color w:val="000000" w:themeColor="text1"/>
        </w:rPr>
        <w:t xml:space="preserve">across government in </w:t>
      </w:r>
      <w:r w:rsidR="005C14D3">
        <w:rPr>
          <w:color w:val="000000" w:themeColor="text1"/>
        </w:rPr>
        <w:t xml:space="preserve">his </w:t>
      </w:r>
      <w:r w:rsidR="00191D51">
        <w:rPr>
          <w:color w:val="000000" w:themeColor="text1"/>
        </w:rPr>
        <w:t>2011</w:t>
      </w:r>
      <w:r w:rsidR="005C14D3">
        <w:rPr>
          <w:color w:val="000000" w:themeColor="text1"/>
        </w:rPr>
        <w:t xml:space="preserve"> State of the Union address, he</w:t>
      </w:r>
      <w:r w:rsidR="00973686">
        <w:rPr>
          <w:color w:val="000000" w:themeColor="text1"/>
        </w:rPr>
        <w:t xml:space="preserve"> left office </w:t>
      </w:r>
      <w:r w:rsidR="00191D51">
        <w:rPr>
          <w:color w:val="000000" w:themeColor="text1"/>
        </w:rPr>
        <w:t>with more layers of leaders and leaders in layers in all five compartments of the hierarchy.</w:t>
      </w:r>
      <w:r w:rsidR="005C14D3">
        <w:rPr>
          <w:rStyle w:val="EndnoteReference"/>
          <w:color w:val="000000" w:themeColor="text1"/>
        </w:rPr>
        <w:endnoteReference w:id="3"/>
      </w:r>
      <w:r w:rsidR="005C14D3">
        <w:rPr>
          <w:color w:val="000000" w:themeColor="text1"/>
        </w:rPr>
        <w:t xml:space="preserve"> </w:t>
      </w:r>
      <w:r w:rsidR="00191D51">
        <w:rPr>
          <w:color w:val="000000" w:themeColor="text1"/>
        </w:rPr>
        <w:t xml:space="preserve"> </w:t>
      </w:r>
      <w:r w:rsidR="001E5FE5">
        <w:rPr>
          <w:color w:val="000000" w:themeColor="text1"/>
        </w:rPr>
        <w:t xml:space="preserve">Reagan once said </w:t>
      </w:r>
      <w:r w:rsidR="001E5FE5" w:rsidRPr="00641BE4">
        <w:rPr>
          <w:color w:val="000000" w:themeColor="text1"/>
        </w:rPr>
        <w:t xml:space="preserve">the </w:t>
      </w:r>
      <w:r w:rsidR="001E5FE5" w:rsidRPr="00641BE4">
        <w:rPr>
          <w:color w:val="000000" w:themeColor="text1"/>
        </w:rPr>
        <w:lastRenderedPageBreak/>
        <w:t xml:space="preserve">nine most terrifying words in the English language: </w:t>
      </w:r>
      <w:r w:rsidR="001E5FE5">
        <w:rPr>
          <w:color w:val="000000" w:themeColor="text1"/>
        </w:rPr>
        <w:t>“</w:t>
      </w:r>
      <w:r w:rsidR="001E5FE5" w:rsidRPr="00641BE4">
        <w:rPr>
          <w:color w:val="000000" w:themeColor="text1"/>
        </w:rPr>
        <w:t>I’m from the government and I’m here to help.”</w:t>
      </w:r>
      <w:r w:rsidR="001E5FE5" w:rsidRPr="00641BE4">
        <w:rPr>
          <w:rStyle w:val="EndnoteReference"/>
          <w:color w:val="000000" w:themeColor="text1"/>
        </w:rPr>
        <w:endnoteReference w:id="4"/>
      </w:r>
      <w:r w:rsidR="001E5FE5">
        <w:rPr>
          <w:color w:val="000000" w:themeColor="text1"/>
        </w:rPr>
        <w:t xml:space="preserve">  But he could just have easily added “I’m from business and I’m here to help you, too.”  </w:t>
      </w:r>
    </w:p>
    <w:p w14:paraId="45EF57FC" w14:textId="77777777" w:rsidR="005D471E" w:rsidRDefault="005D471E" w:rsidP="001E5FE5">
      <w:pPr>
        <w:suppressAutoHyphens/>
        <w:spacing w:line="480" w:lineRule="auto"/>
        <w:ind w:firstLine="360"/>
        <w:rPr>
          <w:rFonts w:eastAsia="Times New Roman"/>
          <w:color w:val="000000"/>
          <w:sz w:val="22"/>
          <w:szCs w:val="22"/>
          <w:shd w:val="clear" w:color="auto" w:fill="FFFFFF"/>
        </w:rPr>
      </w:pPr>
    </w:p>
    <w:p w14:paraId="3D5FF344" w14:textId="77777777" w:rsidR="008D3A79" w:rsidRDefault="008D3A79" w:rsidP="008D3A79">
      <w:pPr>
        <w:suppressAutoHyphens/>
        <w:spacing w:line="480" w:lineRule="auto"/>
        <w:jc w:val="center"/>
        <w:rPr>
          <w:rFonts w:eastAsia="Times New Roman"/>
          <w:color w:val="000000"/>
          <w:sz w:val="22"/>
          <w:szCs w:val="22"/>
          <w:shd w:val="clear" w:color="auto" w:fill="FFFFFF"/>
        </w:rPr>
      </w:pPr>
      <w:r>
        <w:rPr>
          <w:rFonts w:eastAsia="Times New Roman"/>
          <w:color w:val="000000"/>
          <w:sz w:val="22"/>
          <w:szCs w:val="22"/>
          <w:shd w:val="clear" w:color="auto" w:fill="FFFFFF"/>
        </w:rPr>
        <w:t>DISTANCE AND DISTORTION</w:t>
      </w:r>
    </w:p>
    <w:p w14:paraId="25044302" w14:textId="77777777" w:rsidR="008D3A79" w:rsidRDefault="008D3A79" w:rsidP="008D3A79">
      <w:pPr>
        <w:suppressAutoHyphens/>
        <w:spacing w:line="480" w:lineRule="auto"/>
        <w:ind w:firstLine="432"/>
        <w:rPr>
          <w:rFonts w:eastAsia="Times New Roman"/>
          <w:color w:val="000000"/>
          <w:sz w:val="22"/>
          <w:szCs w:val="22"/>
          <w:shd w:val="clear" w:color="auto" w:fill="FFFFFF"/>
        </w:rPr>
      </w:pPr>
    </w:p>
    <w:p w14:paraId="2F8B6C42" w14:textId="77777777" w:rsidR="008D3A79" w:rsidRDefault="008D3A79" w:rsidP="008D3A79">
      <w:pPr>
        <w:suppressAutoHyphens/>
        <w:spacing w:line="480" w:lineRule="auto"/>
        <w:ind w:firstLine="432"/>
        <w:rPr>
          <w:color w:val="000000" w:themeColor="text1"/>
        </w:rPr>
      </w:pPr>
      <w:r w:rsidRPr="00056C85">
        <w:rPr>
          <w:rFonts w:eastAsia="Times New Roman"/>
          <w:color w:val="000000"/>
          <w:sz w:val="22"/>
          <w:szCs w:val="22"/>
          <w:shd w:val="clear" w:color="auto" w:fill="FFFFFF"/>
        </w:rPr>
        <w:t>Even though this title creep increases the distance between the top and bottom of government, the total number of presidential appointees is often described as an insignificant fraction of total federal employment</w:t>
      </w:r>
      <w:r>
        <w:rPr>
          <w:rFonts w:eastAsia="Times New Roman"/>
          <w:color w:val="000000"/>
          <w:sz w:val="22"/>
          <w:szCs w:val="22"/>
          <w:shd w:val="clear" w:color="auto" w:fill="FFFFFF"/>
        </w:rPr>
        <w:t>, but is quite significant as a percentage of the layers between the top and bottom of government</w:t>
      </w:r>
      <w:r w:rsidRPr="00056C85">
        <w:rPr>
          <w:rFonts w:eastAsia="Times New Roman"/>
          <w:color w:val="000000"/>
          <w:sz w:val="22"/>
          <w:szCs w:val="22"/>
          <w:shd w:val="clear" w:color="auto" w:fill="FFFFFF"/>
        </w:rPr>
        <w:t>.</w:t>
      </w:r>
      <w:r w:rsidRPr="00963C3B">
        <w:rPr>
          <w:rStyle w:val="EndnoteReference"/>
          <w:color w:val="000000" w:themeColor="text1"/>
        </w:rPr>
        <w:endnoteReference w:id="5"/>
      </w:r>
      <w:r>
        <w:rPr>
          <w:rFonts w:eastAsia="Times New Roman"/>
          <w:color w:val="000000"/>
          <w:sz w:val="22"/>
          <w:szCs w:val="22"/>
          <w:shd w:val="clear" w:color="auto" w:fill="FFFFFF"/>
        </w:rPr>
        <w:t xml:space="preserve"> </w:t>
      </w:r>
      <w:r w:rsidRPr="008C5D98">
        <w:rPr>
          <w:color w:val="000000" w:themeColor="text1"/>
        </w:rPr>
        <w:t xml:space="preserve">According to </w:t>
      </w:r>
      <w:r>
        <w:rPr>
          <w:color w:val="000000" w:themeColor="text1"/>
        </w:rPr>
        <w:t>my past research on high-impact federal jobs, veterans hospital nurses reported upward through nine formal layers of command, including five at the Veterans Affairs Department’s Vermont Avenue headquarters, while air traffic controllers reported upward through 12, including six at the Federal Aviation Administration’s headquarters on Independence Avenue in Washington.</w:t>
      </w:r>
      <w:r w:rsidRPr="00963C3B">
        <w:rPr>
          <w:rStyle w:val="EndnoteReference"/>
          <w:color w:val="000000" w:themeColor="text1"/>
        </w:rPr>
        <w:endnoteReference w:id="6"/>
      </w:r>
      <w:r>
        <w:rPr>
          <w:color w:val="000000" w:themeColor="text1"/>
        </w:rPr>
        <w:t xml:space="preserve"> </w:t>
      </w:r>
    </w:p>
    <w:p w14:paraId="28B3A3FB" w14:textId="6AB8DA16" w:rsidR="008D3A79" w:rsidRDefault="008D3A79" w:rsidP="008D3A79">
      <w:pPr>
        <w:suppressAutoHyphens/>
        <w:spacing w:line="480" w:lineRule="auto"/>
        <w:ind w:firstLine="432"/>
        <w:rPr>
          <w:color w:val="000000" w:themeColor="text1"/>
        </w:rPr>
      </w:pPr>
      <w:r>
        <w:rPr>
          <w:color w:val="000000" w:themeColor="text1"/>
        </w:rPr>
        <w:t xml:space="preserve">The number of layers includes more than </w:t>
      </w:r>
      <w:r w:rsidR="00C35BCB">
        <w:rPr>
          <w:color w:val="000000" w:themeColor="text1"/>
        </w:rPr>
        <w:t xml:space="preserve">presidential appointees and their title-extenders, </w:t>
      </w:r>
      <w:r>
        <w:rPr>
          <w:color w:val="000000" w:themeColor="text1"/>
        </w:rPr>
        <w:t>however.  Add in the informal layers composed of gatekeepers such as chiefs of staff are factored into the chain of command.  Suddenly, Veterans hospital nurses reported upward through 19 layers</w:t>
      </w:r>
      <w:r w:rsidR="00DA539A">
        <w:rPr>
          <w:color w:val="000000" w:themeColor="text1"/>
        </w:rPr>
        <w:t>, in</w:t>
      </w:r>
      <w:r w:rsidR="005A7F8A">
        <w:rPr>
          <w:color w:val="000000" w:themeColor="text1"/>
        </w:rPr>
        <w:t>cluding nine in Washington, as did a</w:t>
      </w:r>
      <w:r>
        <w:rPr>
          <w:color w:val="000000" w:themeColor="text1"/>
        </w:rPr>
        <w:t>ir traffic controllers and park rangers.</w:t>
      </w:r>
    </w:p>
    <w:p w14:paraId="1D3C56D4" w14:textId="641E6711" w:rsidR="00C2751D" w:rsidRDefault="008D3A79" w:rsidP="009741CB">
      <w:pPr>
        <w:suppressAutoHyphens/>
        <w:spacing w:line="480" w:lineRule="auto"/>
        <w:ind w:firstLine="432"/>
        <w:rPr>
          <w:color w:val="000000" w:themeColor="text1"/>
        </w:rPr>
      </w:pPr>
      <w:r>
        <w:rPr>
          <w:color w:val="000000" w:themeColor="text1"/>
        </w:rPr>
        <w:t xml:space="preserve">The chain of command becomes even more complicated when </w:t>
      </w:r>
      <w:r w:rsidR="00C35BCB">
        <w:rPr>
          <w:color w:val="000000" w:themeColor="text1"/>
        </w:rPr>
        <w:t xml:space="preserve">it makes </w:t>
      </w:r>
      <w:r>
        <w:rPr>
          <w:color w:val="000000" w:themeColor="text1"/>
        </w:rPr>
        <w:t xml:space="preserve">policy or budget decisions that are passed down and back up </w:t>
      </w:r>
      <w:r w:rsidR="00C35BCB">
        <w:rPr>
          <w:color w:val="000000" w:themeColor="text1"/>
        </w:rPr>
        <w:t xml:space="preserve">within each compartment for sign off and review before </w:t>
      </w:r>
      <w:r>
        <w:rPr>
          <w:color w:val="000000" w:themeColor="text1"/>
        </w:rPr>
        <w:t xml:space="preserve">moving down to the next </w:t>
      </w:r>
      <w:r w:rsidR="00C35BCB">
        <w:rPr>
          <w:color w:val="000000" w:themeColor="text1"/>
        </w:rPr>
        <w:t>relevant compartment.  Suddenly, Veterans hospital nurses received their policy guidance and budget</w:t>
      </w:r>
      <w:r w:rsidR="005D471E">
        <w:rPr>
          <w:color w:val="000000" w:themeColor="text1"/>
        </w:rPr>
        <w:t xml:space="preserve">s </w:t>
      </w:r>
      <w:r w:rsidR="00C35BCB">
        <w:rPr>
          <w:color w:val="000000" w:themeColor="text1"/>
        </w:rPr>
        <w:t xml:space="preserve">through </w:t>
      </w:r>
      <w:r w:rsidR="00DA539A">
        <w:rPr>
          <w:color w:val="000000" w:themeColor="text1"/>
        </w:rPr>
        <w:t xml:space="preserve">43 policy </w:t>
      </w:r>
      <w:r w:rsidR="005D471E">
        <w:rPr>
          <w:color w:val="000000" w:themeColor="text1"/>
        </w:rPr>
        <w:t xml:space="preserve">and 63 budget signoffs, including </w:t>
      </w:r>
      <w:r w:rsidR="00DA539A">
        <w:rPr>
          <w:color w:val="000000" w:themeColor="text1"/>
        </w:rPr>
        <w:t xml:space="preserve">regional offices, districts, and hospitals to </w:t>
      </w:r>
      <w:r>
        <w:rPr>
          <w:color w:val="000000" w:themeColor="text1"/>
        </w:rPr>
        <w:t>nurse supervisors</w:t>
      </w:r>
      <w:r w:rsidR="00DA539A">
        <w:rPr>
          <w:color w:val="000000" w:themeColor="text1"/>
        </w:rPr>
        <w:t>.</w:t>
      </w:r>
      <w:r>
        <w:rPr>
          <w:color w:val="000000" w:themeColor="text1"/>
        </w:rPr>
        <w:t xml:space="preserve"> </w:t>
      </w:r>
    </w:p>
    <w:p w14:paraId="25FEECBF" w14:textId="2EDBCDDF" w:rsidR="00BA767A" w:rsidRDefault="00BA767A" w:rsidP="008D3A79">
      <w:pPr>
        <w:spacing w:line="480" w:lineRule="auto"/>
        <w:ind w:firstLine="720"/>
      </w:pPr>
      <w:r>
        <w:t xml:space="preserve">   </w:t>
      </w:r>
    </w:p>
    <w:p w14:paraId="0A0F4115" w14:textId="77777777" w:rsidR="005D471E" w:rsidRDefault="005D471E" w:rsidP="008D3A79">
      <w:pPr>
        <w:spacing w:line="480" w:lineRule="auto"/>
        <w:ind w:firstLine="720"/>
      </w:pPr>
    </w:p>
    <w:p w14:paraId="7598EB8F" w14:textId="7BE0EDAF" w:rsidR="00B91B3A" w:rsidRDefault="008B6444" w:rsidP="00DF04ED">
      <w:pPr>
        <w:spacing w:line="480" w:lineRule="auto"/>
        <w:jc w:val="center"/>
      </w:pPr>
      <w:r>
        <w:lastRenderedPageBreak/>
        <w:t>FURTHER DETAILS</w:t>
      </w:r>
    </w:p>
    <w:p w14:paraId="0691C25E" w14:textId="77777777" w:rsidR="00B91B3A" w:rsidRDefault="00B91B3A" w:rsidP="00B91B3A">
      <w:pPr>
        <w:spacing w:line="480" w:lineRule="auto"/>
        <w:ind w:firstLine="720"/>
        <w:jc w:val="center"/>
      </w:pPr>
    </w:p>
    <w:p w14:paraId="4D51DB91" w14:textId="52254112" w:rsidR="00BA767A" w:rsidRDefault="009657B2" w:rsidP="00DF04ED">
      <w:pPr>
        <w:suppressAutoHyphens/>
        <w:spacing w:line="480" w:lineRule="auto"/>
        <w:ind w:firstLine="432"/>
      </w:pPr>
      <w:r>
        <w:t>T</w:t>
      </w:r>
      <w:r w:rsidR="00062346">
        <w:t xml:space="preserve">he number of layers and leaders is not even across </w:t>
      </w:r>
      <w:r w:rsidR="00605E3C">
        <w:t>the federal government</w:t>
      </w:r>
      <w:r w:rsidR="00062346">
        <w:t xml:space="preserve">. </w:t>
      </w:r>
      <w:r>
        <w:t xml:space="preserve"> </w:t>
      </w:r>
      <w:r w:rsidR="00605E3C">
        <w:t>All departments thicken over time, but do s</w:t>
      </w:r>
      <w:r w:rsidR="00DF04ED">
        <w:t>o at different rates depending in part on mission and budget.  According to theories of what sociologists</w:t>
      </w:r>
      <w:r w:rsidR="00371E2B">
        <w:t xml:space="preserve"> call “institutional isomorphism,” </w:t>
      </w:r>
      <w:r w:rsidR="00DF04ED">
        <w:t>all organizations buffeted by the same economic, political, and social pressures will structure themselves to look alike.</w:t>
      </w:r>
      <w:r w:rsidR="00113E17">
        <w:rPr>
          <w:rStyle w:val="EndnoteReference"/>
        </w:rPr>
        <w:endnoteReference w:id="7"/>
      </w:r>
    </w:p>
    <w:p w14:paraId="1C7D49E7" w14:textId="4B8706EA" w:rsidR="00932776" w:rsidRDefault="005C14D3" w:rsidP="001036D7">
      <w:pPr>
        <w:spacing w:line="480" w:lineRule="auto"/>
        <w:ind w:firstLine="432"/>
      </w:pPr>
      <w:r>
        <w:t xml:space="preserve">Even though some departments and agencies are shorter and lighter than others, this </w:t>
      </w:r>
      <w:r w:rsidR="00DF04ED">
        <w:t>instinct to look like the competition is common in many industries such as higher education, religi</w:t>
      </w:r>
      <w:r w:rsidR="00F05C53">
        <w:t xml:space="preserve">ous institutions, the high-tech industry, and even think tanks.  All things being equal, organizations will </w:t>
      </w:r>
      <w:r w:rsidR="00835A5D">
        <w:t xml:space="preserve">become more similar over time.  The theory is well illustrated in the movement toward common structures described below. </w:t>
      </w:r>
      <w:r w:rsidR="00F05C53">
        <w:t xml:space="preserve">  </w:t>
      </w:r>
    </w:p>
    <w:p w14:paraId="58612503" w14:textId="77777777" w:rsidR="00BA767A" w:rsidRDefault="00BA767A" w:rsidP="00BA767A">
      <w:pPr>
        <w:spacing w:line="480" w:lineRule="auto"/>
        <w:ind w:firstLine="720"/>
      </w:pPr>
    </w:p>
    <w:p w14:paraId="2B94513C" w14:textId="12937C7B" w:rsidR="00BA767A" w:rsidRDefault="00835A5D" w:rsidP="00666410">
      <w:pPr>
        <w:numPr>
          <w:ilvl w:val="0"/>
          <w:numId w:val="3"/>
        </w:numPr>
        <w:tabs>
          <w:tab w:val="clear" w:pos="360"/>
          <w:tab w:val="num" w:pos="1080"/>
        </w:tabs>
        <w:spacing w:line="480" w:lineRule="auto"/>
        <w:ind w:left="1080"/>
      </w:pPr>
      <w:r>
        <w:t xml:space="preserve">The federal hierarchy </w:t>
      </w:r>
      <w:r w:rsidR="00965B7D">
        <w:t xml:space="preserve">has grown taller and wider </w:t>
      </w:r>
      <w:r w:rsidR="00A90D19">
        <w:t xml:space="preserve">over time as </w:t>
      </w:r>
      <w:r w:rsidR="00666410">
        <w:t xml:space="preserve">Congress, the president, and </w:t>
      </w:r>
      <w:r w:rsidR="001124A3">
        <w:t xml:space="preserve">departments </w:t>
      </w:r>
      <w:r w:rsidR="00931245">
        <w:t xml:space="preserve">invented or extended new </w:t>
      </w:r>
      <w:r w:rsidR="001124A3">
        <w:t xml:space="preserve">titles.  </w:t>
      </w:r>
      <w:r w:rsidR="00BA767A">
        <w:t>Of the 71 titles open for occupancy</w:t>
      </w:r>
      <w:r>
        <w:t xml:space="preserve"> </w:t>
      </w:r>
      <w:r w:rsidR="001124A3">
        <w:t>somewhere across the cabinet, 20</w:t>
      </w:r>
      <w:r w:rsidR="008F2F78">
        <w:t xml:space="preserve"> existed </w:t>
      </w:r>
      <w:r w:rsidR="00BA767A">
        <w:t xml:space="preserve">in at least seven </w:t>
      </w:r>
      <w:r w:rsidR="008F2F78">
        <w:t xml:space="preserve">departments in 2016, </w:t>
      </w:r>
      <w:r w:rsidR="00BA767A">
        <w:t>while another 13 exist</w:t>
      </w:r>
      <w:r w:rsidR="008F2F78">
        <w:t>ed</w:t>
      </w:r>
      <w:r w:rsidR="00BA767A">
        <w:t xml:space="preserve"> in at least four departments.  </w:t>
      </w:r>
      <w:r w:rsidR="00666410">
        <w:t>Only one cabinet secretary had a chief of staff in 19</w:t>
      </w:r>
      <w:r w:rsidR="008F2F78">
        <w:t>81, but all 15 had one in 2016; o</w:t>
      </w:r>
      <w:r w:rsidR="00666410">
        <w:t>nly on</w:t>
      </w:r>
      <w:r w:rsidR="00A5405C">
        <w:t>e had a deputy chi</w:t>
      </w:r>
      <w:r w:rsidR="008F2F78">
        <w:t xml:space="preserve">ef of staff in 1981, but 14 </w:t>
      </w:r>
      <w:r w:rsidR="00A5405C">
        <w:t xml:space="preserve">had one in 2016.  </w:t>
      </w:r>
      <w:r w:rsidR="00666410">
        <w:t xml:space="preserve"> </w:t>
      </w:r>
    </w:p>
    <w:p w14:paraId="349FC5A2" w14:textId="77777777" w:rsidR="00A90D19" w:rsidRDefault="00A90D19" w:rsidP="00A90D19">
      <w:pPr>
        <w:spacing w:line="480" w:lineRule="auto"/>
        <w:ind w:left="1080"/>
      </w:pPr>
    </w:p>
    <w:p w14:paraId="1C13ED07" w14:textId="70FACCB5" w:rsidR="00A90D19" w:rsidRDefault="00A90D19" w:rsidP="00A90D19">
      <w:pPr>
        <w:numPr>
          <w:ilvl w:val="0"/>
          <w:numId w:val="3"/>
        </w:numPr>
        <w:tabs>
          <w:tab w:val="clear" w:pos="360"/>
          <w:tab w:val="num" w:pos="1080"/>
        </w:tabs>
        <w:spacing w:line="480" w:lineRule="auto"/>
        <w:ind w:left="1080"/>
      </w:pPr>
      <w:r>
        <w:t xml:space="preserve">History strongly </w:t>
      </w:r>
      <w:r w:rsidR="00965B7D">
        <w:t xml:space="preserve">suggests </w:t>
      </w:r>
      <w:r>
        <w:t xml:space="preserve">the new layers will spread as departments </w:t>
      </w:r>
      <w:r w:rsidR="00965B7D">
        <w:t>copy and compete to adopt perceived best practices</w:t>
      </w:r>
      <w:r>
        <w:t xml:space="preserve">—the first chief of staff to a cabinet secretary was created in 1981, spread to another 10 departments by 1992, and the final four by 2016.  Chiefs of staff account for 13 of the 71 layers listed in Table 1, while deputy or assistant chiefs of </w:t>
      </w:r>
      <w:r w:rsidR="005D471E">
        <w:t xml:space="preserve">staff account for six more. This one title </w:t>
      </w:r>
      <w:r>
        <w:t xml:space="preserve">also </w:t>
      </w:r>
      <w:r>
        <w:lastRenderedPageBreak/>
        <w:t>accounts for almost 10 percent of the leaders in layers as of 2016.</w:t>
      </w:r>
      <w:r w:rsidR="005D471E">
        <w:t xml:space="preserve"> It seems that presidential appointees are nobody if they do not</w:t>
      </w:r>
      <w:r w:rsidR="00C84373">
        <w:t xml:space="preserve"> have a chief of staff, while chiefs of staff </w:t>
      </w:r>
      <w:r w:rsidR="005D471E">
        <w:t xml:space="preserve">are nobody </w:t>
      </w:r>
      <w:r w:rsidR="00C84373">
        <w:t>if they</w:t>
      </w:r>
      <w:r w:rsidR="005D471E">
        <w:t xml:space="preserve"> do not have a deputy chief of staff.</w:t>
      </w:r>
    </w:p>
    <w:p w14:paraId="111E647B" w14:textId="77777777" w:rsidR="00A90D19" w:rsidRDefault="00A90D19" w:rsidP="00A90D19">
      <w:pPr>
        <w:spacing w:line="480" w:lineRule="auto"/>
        <w:ind w:left="1080"/>
      </w:pPr>
    </w:p>
    <w:p w14:paraId="4AE6F177" w14:textId="608C373C" w:rsidR="00511BF3" w:rsidRDefault="00965B7D" w:rsidP="00A90D19">
      <w:pPr>
        <w:numPr>
          <w:ilvl w:val="0"/>
          <w:numId w:val="3"/>
        </w:numPr>
        <w:tabs>
          <w:tab w:val="clear" w:pos="360"/>
          <w:tab w:val="num" w:pos="1080"/>
        </w:tabs>
        <w:spacing w:line="480" w:lineRule="auto"/>
        <w:ind w:left="1080"/>
      </w:pPr>
      <w:r>
        <w:t>Departments vary</w:t>
      </w:r>
      <w:r w:rsidR="00A851BE">
        <w:t xml:space="preserve"> significantly </w:t>
      </w:r>
      <w:r>
        <w:t>in</w:t>
      </w:r>
      <w:r w:rsidR="00A851BE">
        <w:t xml:space="preserve"> </w:t>
      </w:r>
      <w:r>
        <w:t>height</w:t>
      </w:r>
      <w:r w:rsidR="00A851BE">
        <w:t xml:space="preserve">. </w:t>
      </w:r>
      <w:r w:rsidR="00BA767A">
        <w:t xml:space="preserve">The Defense Department had the </w:t>
      </w:r>
      <w:r w:rsidR="009F14C9">
        <w:t>tallest federal hierarchy in 2016</w:t>
      </w:r>
      <w:r w:rsidR="00BA767A">
        <w:t xml:space="preserve"> with 37</w:t>
      </w:r>
      <w:r w:rsidR="009F14C9">
        <w:t xml:space="preserve"> layers</w:t>
      </w:r>
      <w:r w:rsidR="00BA767A">
        <w:t>, followed by Agriculture with 31, Homeland Security with</w:t>
      </w:r>
      <w:r w:rsidR="00BA767A" w:rsidRPr="009A2BBD">
        <w:t xml:space="preserve"> 30, Education, Energy, Interior, and Treasury</w:t>
      </w:r>
      <w:r w:rsidR="00BA767A">
        <w:t xml:space="preserve"> with</w:t>
      </w:r>
      <w:r w:rsidR="00BA767A" w:rsidRPr="009A2BBD">
        <w:t xml:space="preserve"> 28</w:t>
      </w:r>
      <w:r w:rsidR="00BA767A">
        <w:t xml:space="preserve"> each</w:t>
      </w:r>
      <w:r w:rsidR="00BA767A" w:rsidRPr="009A2BBD">
        <w:t xml:space="preserve">, Health and Human Services </w:t>
      </w:r>
      <w:r w:rsidR="00BA767A">
        <w:t xml:space="preserve">with </w:t>
      </w:r>
      <w:r w:rsidR="00BA767A" w:rsidRPr="009A2BBD">
        <w:t xml:space="preserve">27, Transportation </w:t>
      </w:r>
      <w:r w:rsidR="00BA767A">
        <w:t>with</w:t>
      </w:r>
      <w:r w:rsidR="00BA767A" w:rsidRPr="009A2BBD">
        <w:t xml:space="preserve"> 26, </w:t>
      </w:r>
      <w:r w:rsidR="00BA767A">
        <w:t xml:space="preserve">Commerce with 25, </w:t>
      </w:r>
      <w:r w:rsidR="00BA767A" w:rsidRPr="009A2BBD">
        <w:t>Justic</w:t>
      </w:r>
      <w:r w:rsidR="00BA767A">
        <w:t>e with</w:t>
      </w:r>
      <w:r w:rsidR="00BA767A" w:rsidRPr="009A2BBD">
        <w:t xml:space="preserve"> 24, Labor and Veterans Affairs </w:t>
      </w:r>
      <w:r w:rsidR="00BA767A">
        <w:t>with</w:t>
      </w:r>
      <w:r w:rsidR="00BA767A" w:rsidRPr="009A2BBD">
        <w:t xml:space="preserve"> 21</w:t>
      </w:r>
      <w:r w:rsidR="00BA767A">
        <w:t xml:space="preserve"> each</w:t>
      </w:r>
      <w:r w:rsidR="00BA767A" w:rsidRPr="009A2BBD">
        <w:t xml:space="preserve">, </w:t>
      </w:r>
      <w:r w:rsidR="00BA767A">
        <w:t>State with</w:t>
      </w:r>
      <w:r w:rsidR="00BA767A" w:rsidRPr="009A2BBD">
        <w:t xml:space="preserve"> 16, and </w:t>
      </w:r>
      <w:r w:rsidR="00BA767A">
        <w:t>Housing and Urban Development with</w:t>
      </w:r>
      <w:r w:rsidR="00BA767A" w:rsidRPr="009A2BBD">
        <w:t xml:space="preserve"> 15.</w:t>
      </w:r>
      <w:r w:rsidR="00BA767A">
        <w:t xml:space="preserve"> </w:t>
      </w:r>
      <w:r w:rsidR="005E69A0">
        <w:t xml:space="preserve"> </w:t>
      </w:r>
      <w:r w:rsidR="00BA767A">
        <w:t xml:space="preserve">The total number of layers </w:t>
      </w:r>
      <w:r w:rsidR="001820B6">
        <w:t xml:space="preserve">added to </w:t>
      </w:r>
      <w:r w:rsidR="00BA767A">
        <w:t xml:space="preserve">71 </w:t>
      </w:r>
      <w:r w:rsidR="00511BF3">
        <w:t xml:space="preserve">in 2016 </w:t>
      </w:r>
      <w:r w:rsidR="009F14C9">
        <w:t xml:space="preserve">because </w:t>
      </w:r>
      <w:r w:rsidR="009E4BF0">
        <w:t xml:space="preserve">departments vary greatly in the number of agencies and offices at the middle and lower levels—some departments such as Defense are large and complex, while others such as Housing and Urban Development are small and focused.  </w:t>
      </w:r>
    </w:p>
    <w:p w14:paraId="2805A94A" w14:textId="77777777" w:rsidR="002139FA" w:rsidRDefault="002139FA" w:rsidP="002139FA">
      <w:pPr>
        <w:spacing w:line="480" w:lineRule="auto"/>
        <w:ind w:left="1080"/>
      </w:pPr>
    </w:p>
    <w:p w14:paraId="57004E3D" w14:textId="7E2FDFD2" w:rsidR="002F164F" w:rsidRDefault="00965B7D" w:rsidP="002139FA">
      <w:pPr>
        <w:numPr>
          <w:ilvl w:val="0"/>
          <w:numId w:val="3"/>
        </w:numPr>
        <w:tabs>
          <w:tab w:val="clear" w:pos="360"/>
          <w:tab w:val="num" w:pos="1080"/>
        </w:tabs>
        <w:spacing w:line="480" w:lineRule="auto"/>
        <w:ind w:left="1080"/>
      </w:pPr>
      <w:r>
        <w:t xml:space="preserve">Departments also vary significantly in width.  </w:t>
      </w:r>
      <w:r w:rsidR="002139FA">
        <w:t>The</w:t>
      </w:r>
      <w:r w:rsidR="00E2002B">
        <w:t xml:space="preserve"> Defense Department </w:t>
      </w:r>
      <w:r w:rsidR="006928D0">
        <w:t xml:space="preserve">had the widest hierarchy </w:t>
      </w:r>
      <w:r w:rsidR="00E2002B">
        <w:t xml:space="preserve">in 2016 </w:t>
      </w:r>
      <w:r w:rsidR="006928D0">
        <w:t xml:space="preserve">with 405 </w:t>
      </w:r>
      <w:r w:rsidR="002B2B7F">
        <w:t>leaders</w:t>
      </w:r>
      <w:r w:rsidR="006928D0">
        <w:t xml:space="preserve">, followed by </w:t>
      </w:r>
      <w:r w:rsidR="00F63A93">
        <w:t xml:space="preserve">Agriculture with 364, </w:t>
      </w:r>
      <w:r w:rsidR="006928D0">
        <w:t xml:space="preserve">Health and Human Services with 340, Justice with 296, Homeland Security with 287, Treasury with 236, State with 214, Transportation with 204, </w:t>
      </w:r>
      <w:r w:rsidR="00F63A93">
        <w:t xml:space="preserve">Commerce with 191, </w:t>
      </w:r>
      <w:r w:rsidR="006928D0">
        <w:t xml:space="preserve">Interior with 177, </w:t>
      </w:r>
      <w:r w:rsidR="00F63A93">
        <w:t xml:space="preserve">Energy with 175, Housing and Urban Development with 145, Education with 115, Veterans Affairs with 112, and Labor with just 102. </w:t>
      </w:r>
      <w:r w:rsidR="009E4BF0">
        <w:t xml:space="preserve"> </w:t>
      </w:r>
      <w:r w:rsidR="002E7104">
        <w:t>The 15 departments</w:t>
      </w:r>
      <w:r w:rsidR="009E4BF0">
        <w:t xml:space="preserve"> varied somewhat in the rate of increase over time, the </w:t>
      </w:r>
      <w:r w:rsidR="008E6D31">
        <w:t xml:space="preserve">federal personnel </w:t>
      </w:r>
      <w:r w:rsidR="002508DB">
        <w:t xml:space="preserve">process </w:t>
      </w:r>
      <w:r w:rsidR="008E6D31">
        <w:t xml:space="preserve">is </w:t>
      </w:r>
      <w:r w:rsidR="002508DB">
        <w:t>almost</w:t>
      </w:r>
      <w:r w:rsidR="008E6D31">
        <w:t xml:space="preserve"> perfectly designed to move employees ever upward until they hit a ceiling that can only be broken by new layers. </w:t>
      </w:r>
      <w:r w:rsidR="002508DB">
        <w:t xml:space="preserve">Bound by the same </w:t>
      </w:r>
      <w:r w:rsidR="002508DB">
        <w:lastRenderedPageBreak/>
        <w:t xml:space="preserve">system, all departments widen over time, but some have the funding and missions to widen even more.  </w:t>
      </w:r>
    </w:p>
    <w:p w14:paraId="70D372B2" w14:textId="77777777" w:rsidR="002F164F" w:rsidRDefault="002F164F" w:rsidP="002F164F">
      <w:pPr>
        <w:spacing w:line="480" w:lineRule="auto"/>
        <w:ind w:left="1080"/>
      </w:pPr>
    </w:p>
    <w:p w14:paraId="6202FF36" w14:textId="141B8473" w:rsidR="002139FA" w:rsidRDefault="002F164F" w:rsidP="002139FA">
      <w:pPr>
        <w:numPr>
          <w:ilvl w:val="0"/>
          <w:numId w:val="3"/>
        </w:numPr>
        <w:tabs>
          <w:tab w:val="clear" w:pos="360"/>
          <w:tab w:val="num" w:pos="1080"/>
        </w:tabs>
        <w:spacing w:line="480" w:lineRule="auto"/>
        <w:ind w:left="1080"/>
      </w:pPr>
      <w:r>
        <w:t>The</w:t>
      </w:r>
      <w:r w:rsidR="00E05E9B">
        <w:t xml:space="preserve"> number of layers fell during the Clinton administration because of </w:t>
      </w:r>
      <w:r w:rsidR="006A029D">
        <w:t xml:space="preserve">Vice President Al Gore’s </w:t>
      </w:r>
      <w:r w:rsidR="00E05E9B">
        <w:t xml:space="preserve">targeted cuts on high-level management layers, while the number of </w:t>
      </w:r>
      <w:r w:rsidR="007B3552">
        <w:t xml:space="preserve">leaders fell </w:t>
      </w:r>
      <w:r w:rsidR="008F2F78">
        <w:t xml:space="preserve">during the Obama administration’s </w:t>
      </w:r>
      <w:r w:rsidR="00C84373">
        <w:t xml:space="preserve">2010-2013 budget battles and shutdown </w:t>
      </w:r>
      <w:r w:rsidR="008F2F78">
        <w:t xml:space="preserve">as departments and agencies struggled to protect their budgets. </w:t>
      </w:r>
      <w:r w:rsidR="00CE0BFF">
        <w:t xml:space="preserve"> However, the </w:t>
      </w:r>
      <w:r w:rsidR="00B42B47">
        <w:t>reductions were small and sh</w:t>
      </w:r>
      <w:r w:rsidR="00507A01">
        <w:t>ort-li</w:t>
      </w:r>
      <w:r w:rsidR="00DA77A9">
        <w:t>ved, in part because promotions have long been used to evade pay freezes</w:t>
      </w:r>
      <w:r w:rsidR="00507A01">
        <w:t xml:space="preserve">. </w:t>
      </w:r>
    </w:p>
    <w:p w14:paraId="20A05986" w14:textId="77777777" w:rsidR="00511BF3" w:rsidRDefault="00511BF3" w:rsidP="00511BF3">
      <w:pPr>
        <w:spacing w:line="480" w:lineRule="auto"/>
        <w:ind w:left="720"/>
      </w:pPr>
    </w:p>
    <w:p w14:paraId="37EB5515" w14:textId="0A6C5906" w:rsidR="005C14D3" w:rsidRDefault="00985B84" w:rsidP="00C84373">
      <w:pPr>
        <w:spacing w:line="480" w:lineRule="auto"/>
        <w:ind w:firstLine="432"/>
      </w:pPr>
      <w:r>
        <w:t xml:space="preserve">Departments generally recover </w:t>
      </w:r>
      <w:r w:rsidR="007665DA">
        <w:t xml:space="preserve">the </w:t>
      </w:r>
      <w:r>
        <w:t xml:space="preserve">layers and leaders </w:t>
      </w:r>
      <w:r w:rsidR="007665DA">
        <w:t xml:space="preserve">they lose </w:t>
      </w:r>
      <w:r>
        <w:t xml:space="preserve">through radical </w:t>
      </w:r>
      <w:r w:rsidR="00F4051A">
        <w:t xml:space="preserve">reorganizations such as </w:t>
      </w:r>
      <w:r w:rsidR="00DB1084">
        <w:t xml:space="preserve">the creation of the Homeland Security Department </w:t>
      </w:r>
      <w:r>
        <w:t xml:space="preserve">in 2003.  Even </w:t>
      </w:r>
      <w:r w:rsidR="00A83232">
        <w:t>though</w:t>
      </w:r>
      <w:r>
        <w:t xml:space="preserve"> the</w:t>
      </w:r>
      <w:r w:rsidR="00A83232">
        <w:t xml:space="preserve"> Justice, Transportation, and Treasury </w:t>
      </w:r>
      <w:r w:rsidR="00880C08">
        <w:t xml:space="preserve">departments all lost units </w:t>
      </w:r>
      <w:r w:rsidR="00C84373">
        <w:t>as part of the</w:t>
      </w:r>
      <w:r w:rsidR="00880C08">
        <w:t xml:space="preserve"> </w:t>
      </w:r>
      <w:r w:rsidR="00DB1084">
        <w:t>22-agency merger, their hierarchies recovered quickly</w:t>
      </w:r>
      <w:r w:rsidR="00A948B7">
        <w:t xml:space="preserve"> </w:t>
      </w:r>
      <w:r w:rsidR="00C84373">
        <w:t>the lost</w:t>
      </w:r>
      <w:r>
        <w:t xml:space="preserve">.  </w:t>
      </w:r>
      <w:r w:rsidR="00C84373">
        <w:t xml:space="preserve">Adding the Homeland Security department to the combined total, the four departments had </w:t>
      </w:r>
      <w:r w:rsidR="00CB6CD6">
        <w:t xml:space="preserve">602 </w:t>
      </w:r>
      <w:r w:rsidR="002B2B7F">
        <w:t>leaders</w:t>
      </w:r>
      <w:r w:rsidR="00240182">
        <w:t xml:space="preserve"> in</w:t>
      </w:r>
      <w:r w:rsidR="00CB6CD6">
        <w:t xml:space="preserve"> 1998, dropped to </w:t>
      </w:r>
      <w:r w:rsidR="00FC0261">
        <w:t>583</w:t>
      </w:r>
      <w:r w:rsidR="00A948B7">
        <w:t xml:space="preserve"> one year </w:t>
      </w:r>
      <w:r w:rsidR="00240182">
        <w:t>after losing the U.S. Immigration and Naturalization Service (Justice), U.S. Customs Service (Treasury), Secret Service (Treasury), and Transportation Security Administration (Transportation)</w:t>
      </w:r>
      <w:r w:rsidR="00A948B7">
        <w:t xml:space="preserve">, </w:t>
      </w:r>
      <w:r w:rsidR="00C84373">
        <w:t>move up</w:t>
      </w:r>
      <w:r w:rsidR="00880C08">
        <w:t xml:space="preserve"> to 697 </w:t>
      </w:r>
      <w:r w:rsidR="00C84373">
        <w:t xml:space="preserve">with Homeland Security fully operational </w:t>
      </w:r>
      <w:r w:rsidR="00880C08">
        <w:t>in</w:t>
      </w:r>
      <w:r w:rsidR="00400273">
        <w:t xml:space="preserve"> 2010, and hit 736 in 2016. </w:t>
      </w:r>
    </w:p>
    <w:p w14:paraId="46F74CDB" w14:textId="77777777" w:rsidR="0026330B" w:rsidRDefault="0026330B" w:rsidP="0026330B">
      <w:pPr>
        <w:spacing w:line="480" w:lineRule="auto"/>
        <w:ind w:left="1080"/>
      </w:pPr>
    </w:p>
    <w:p w14:paraId="516B415C" w14:textId="2318491A" w:rsidR="004B3261" w:rsidRDefault="0046240F" w:rsidP="00117A54">
      <w:pPr>
        <w:suppressAutoHyphens/>
        <w:spacing w:line="480" w:lineRule="auto"/>
        <w:jc w:val="center"/>
        <w:rPr>
          <w:color w:val="000000" w:themeColor="text1"/>
        </w:rPr>
      </w:pPr>
      <w:r>
        <w:rPr>
          <w:color w:val="000000" w:themeColor="text1"/>
        </w:rPr>
        <w:t>PEOPLE ON PEOPLE</w:t>
      </w:r>
    </w:p>
    <w:p w14:paraId="55C7C805" w14:textId="77777777" w:rsidR="004B3261" w:rsidRDefault="004B3261" w:rsidP="00BA767A">
      <w:pPr>
        <w:suppressAutoHyphens/>
        <w:spacing w:line="480" w:lineRule="auto"/>
        <w:rPr>
          <w:color w:val="000000" w:themeColor="text1"/>
        </w:rPr>
      </w:pPr>
    </w:p>
    <w:p w14:paraId="4A2BAF8A" w14:textId="75B92A6E" w:rsidR="000629DB" w:rsidRPr="008C37E7" w:rsidRDefault="000629DB" w:rsidP="00BA767A">
      <w:pPr>
        <w:suppressAutoHyphens/>
        <w:spacing w:line="480" w:lineRule="auto"/>
        <w:ind w:firstLine="432"/>
      </w:pPr>
      <w:r w:rsidRPr="00024E83">
        <w:rPr>
          <w:color w:val="000000" w:themeColor="text1"/>
        </w:rPr>
        <w:t>Most</w:t>
      </w:r>
      <w:r>
        <w:t xml:space="preserve"> presidents use these positions to reward their friends and policy advisers. </w:t>
      </w:r>
      <w:r w:rsidR="00351534">
        <w:t xml:space="preserve"> </w:t>
      </w:r>
      <w:r>
        <w:t xml:space="preserve">However, Trump took a different position when he told </w:t>
      </w:r>
      <w:r w:rsidRPr="004B3261">
        <w:rPr>
          <w:i/>
        </w:rPr>
        <w:t>Fox &amp; Friends</w:t>
      </w:r>
      <w:r w:rsidRPr="008C37E7">
        <w:t xml:space="preserve"> he did not want to fill many of the </w:t>
      </w:r>
      <w:r>
        <w:t>600 high-level posts still open for occupancy in early March 2017</w:t>
      </w:r>
      <w:r w:rsidRPr="008C37E7">
        <w:t xml:space="preserve">: </w:t>
      </w:r>
    </w:p>
    <w:p w14:paraId="08FA222B" w14:textId="77777777" w:rsidR="000629DB" w:rsidRPr="008C37E7" w:rsidRDefault="000629DB" w:rsidP="00BA767A">
      <w:pPr>
        <w:spacing w:line="480" w:lineRule="auto"/>
      </w:pPr>
    </w:p>
    <w:p w14:paraId="7EFD87B6" w14:textId="77777777" w:rsidR="000629DB" w:rsidRPr="008C37E7" w:rsidRDefault="000629DB" w:rsidP="00351534">
      <w:pPr>
        <w:spacing w:line="480" w:lineRule="auto"/>
        <w:ind w:left="720"/>
      </w:pPr>
      <w:r w:rsidRPr="008C37E7">
        <w:t>Well, a lot of those jobs, I don’t want to appoint, because they’re unnecessary to have. You know we have so many people in government, even me, I look at some of the jobs and its people over people over people....There are hundreds and hundreds of jobs that are totally unnecessary jobs.</w:t>
      </w:r>
      <w:r w:rsidRPr="00F3678A">
        <w:rPr>
          <w:rStyle w:val="EndnoteReference"/>
        </w:rPr>
        <w:t xml:space="preserve"> </w:t>
      </w:r>
      <w:r>
        <w:rPr>
          <w:rStyle w:val="EndnoteReference"/>
        </w:rPr>
        <w:endnoteReference w:id="8"/>
      </w:r>
    </w:p>
    <w:p w14:paraId="13F0191A" w14:textId="77777777" w:rsidR="009741CB" w:rsidRDefault="009741CB" w:rsidP="00BA767A">
      <w:pPr>
        <w:suppressAutoHyphens/>
        <w:spacing w:line="480" w:lineRule="auto"/>
        <w:ind w:firstLine="432"/>
      </w:pPr>
    </w:p>
    <w:p w14:paraId="07A84531" w14:textId="76BA01F6" w:rsidR="00CF0B77" w:rsidRDefault="00C84373" w:rsidP="00BA767A">
      <w:pPr>
        <w:suppressAutoHyphens/>
        <w:spacing w:line="480" w:lineRule="auto"/>
        <w:ind w:firstLine="432"/>
      </w:pPr>
      <w:r>
        <w:t>As my inventories show, h</w:t>
      </w:r>
      <w:r w:rsidR="004B3261">
        <w:t>e was wrong</w:t>
      </w:r>
      <w:r w:rsidR="00C34273">
        <w:t xml:space="preserve"> about the number of </w:t>
      </w:r>
      <w:r w:rsidR="005C351D">
        <w:t xml:space="preserve">positions </w:t>
      </w:r>
      <w:r w:rsidR="00C34273">
        <w:t xml:space="preserve">open for occupancy on </w:t>
      </w:r>
      <w:r w:rsidR="00F12223">
        <w:t>January 20, 2017</w:t>
      </w:r>
      <w:r w:rsidR="00CF0B77">
        <w:t xml:space="preserve">, </w:t>
      </w:r>
      <w:r w:rsidR="00C34273">
        <w:t xml:space="preserve">wrong to believe that the </w:t>
      </w:r>
      <w:r w:rsidR="00CF0B77">
        <w:t xml:space="preserve">positions would simply disappear if left open, and wrong to think the jobs were unnecessary.  </w:t>
      </w:r>
      <w:r w:rsidR="005C351D">
        <w:t>Some</w:t>
      </w:r>
      <w:r w:rsidR="00C34273">
        <w:t xml:space="preserve"> of the jobs </w:t>
      </w:r>
      <w:r w:rsidR="009443C5">
        <w:t xml:space="preserve">were created by statute, </w:t>
      </w:r>
      <w:r w:rsidR="00F02328">
        <w:t xml:space="preserve">others were </w:t>
      </w:r>
      <w:r w:rsidR="009443C5">
        <w:t>established through the federal government’s highly formalized classification system</w:t>
      </w:r>
      <w:r w:rsidR="00F02328">
        <w:t>, and s</w:t>
      </w:r>
      <w:r w:rsidR="005C351D">
        <w:t xml:space="preserve">till others </w:t>
      </w:r>
      <w:r w:rsidR="00F12223">
        <w:t xml:space="preserve">by department memoranda. </w:t>
      </w:r>
    </w:p>
    <w:p w14:paraId="0BFB5E02" w14:textId="58EA3699" w:rsidR="000629DB" w:rsidRDefault="00F02328" w:rsidP="00BA767A">
      <w:pPr>
        <w:suppressAutoHyphens/>
        <w:spacing w:line="480" w:lineRule="auto"/>
        <w:ind w:firstLine="432"/>
      </w:pPr>
      <w:r>
        <w:t>Most importantly</w:t>
      </w:r>
      <w:r w:rsidR="00CF0B77">
        <w:t xml:space="preserve"> for governing, these positions were</w:t>
      </w:r>
      <w:r w:rsidR="00357CCA">
        <w:t xml:space="preserve"> hardwired into a bureaucratic process that links the top of the federal government to the bottom. </w:t>
      </w:r>
      <w:r w:rsidR="000629DB" w:rsidRPr="008C37E7">
        <w:t xml:space="preserve">With </w:t>
      </w:r>
      <w:r w:rsidR="000629DB">
        <w:t xml:space="preserve">of 13 </w:t>
      </w:r>
      <w:r w:rsidR="000629DB" w:rsidRPr="008C37E7">
        <w:t>cabinet of</w:t>
      </w:r>
      <w:r w:rsidR="000629DB">
        <w:t xml:space="preserve">ficers confirmed by late March </w:t>
      </w:r>
      <w:r w:rsidR="00F12223">
        <w:t xml:space="preserve">when this fact sheet was released </w:t>
      </w:r>
      <w:r w:rsidR="000629DB">
        <w:t xml:space="preserve">and two still mired in controversy (Labor) or </w:t>
      </w:r>
      <w:r w:rsidR="00AC7DB2">
        <w:t xml:space="preserve">disinterest </w:t>
      </w:r>
      <w:r w:rsidR="000629DB">
        <w:t>(Agriculture),</w:t>
      </w:r>
      <w:r w:rsidR="000629DB" w:rsidRPr="008C37E7">
        <w:t xml:space="preserve"> </w:t>
      </w:r>
      <w:r w:rsidR="000629DB">
        <w:t xml:space="preserve">the Trump </w:t>
      </w:r>
      <w:r w:rsidR="000629DB" w:rsidRPr="008C37E7">
        <w:t xml:space="preserve">administration was not </w:t>
      </w:r>
      <w:r w:rsidR="000629DB">
        <w:t xml:space="preserve">so much </w:t>
      </w:r>
      <w:r w:rsidR="000629DB" w:rsidRPr="008C37E7">
        <w:t>headless, but neckless.</w:t>
      </w:r>
      <w:r w:rsidR="000629DB">
        <w:rPr>
          <w:rStyle w:val="EndnoteReference"/>
        </w:rPr>
        <w:endnoteReference w:id="9"/>
      </w:r>
      <w:r>
        <w:t xml:space="preserve"> </w:t>
      </w:r>
    </w:p>
    <w:p w14:paraId="6BD18B36" w14:textId="22893ADE" w:rsidR="00E672F5" w:rsidRDefault="00F12223" w:rsidP="00BA767A">
      <w:pPr>
        <w:suppressAutoHyphens/>
        <w:spacing w:line="480" w:lineRule="auto"/>
        <w:ind w:firstLine="432"/>
      </w:pPr>
      <w:r>
        <w:t>By then, t</w:t>
      </w:r>
      <w:r w:rsidR="00AC7DB2">
        <w:t xml:space="preserve">he Trump administration </w:t>
      </w:r>
      <w:r>
        <w:t xml:space="preserve">was already </w:t>
      </w:r>
      <w:r w:rsidR="00AC7DB2">
        <w:t xml:space="preserve">far behind past administrations in nominating its most senior officers, but it is filling up faster </w:t>
      </w:r>
      <w:r w:rsidR="00117A54">
        <w:t xml:space="preserve">at the sub-cabinet level </w:t>
      </w:r>
      <w:r w:rsidR="00AC7DB2">
        <w:t>tha</w:t>
      </w:r>
      <w:r w:rsidR="00FA6BF1">
        <w:t xml:space="preserve">n most observers believe. </w:t>
      </w:r>
      <w:r w:rsidR="00AC7DB2">
        <w:t xml:space="preserve">Most of the </w:t>
      </w:r>
      <w:r w:rsidR="00117A54">
        <w:t xml:space="preserve">new </w:t>
      </w:r>
      <w:r w:rsidR="00AC7DB2">
        <w:t>cabinet secretaries have</w:t>
      </w:r>
      <w:r w:rsidR="00117A54">
        <w:t xml:space="preserve"> already</w:t>
      </w:r>
      <w:r w:rsidR="000629DB">
        <w:t xml:space="preserve"> appointed the chiefs of staff who will oversee their </w:t>
      </w:r>
      <w:r w:rsidR="00AC7DB2">
        <w:t xml:space="preserve">organizations, while </w:t>
      </w:r>
      <w:r w:rsidR="000629DB">
        <w:t>the Whi</w:t>
      </w:r>
      <w:r w:rsidR="00117A54">
        <w:t xml:space="preserve">te House also appointed a </w:t>
      </w:r>
      <w:r w:rsidR="00FB2251">
        <w:t>coterie</w:t>
      </w:r>
      <w:r w:rsidR="00117A54">
        <w:t xml:space="preserve"> </w:t>
      </w:r>
      <w:r w:rsidR="000629DB">
        <w:t xml:space="preserve">overseers </w:t>
      </w:r>
      <w:r w:rsidR="00FA6BF1">
        <w:t xml:space="preserve">to watch over the cabinet secretaries and their chiefs of staff.  </w:t>
      </w:r>
      <w:r w:rsidR="000629DB">
        <w:t xml:space="preserve">This process of title assignment was already well underway when </w:t>
      </w:r>
      <w:r w:rsidR="000629DB" w:rsidRPr="00AF6F61">
        <w:t>ProPublica</w:t>
      </w:r>
      <w:r w:rsidR="000629DB">
        <w:t xml:space="preserve"> published a list of the first 400 of White House agents.</w:t>
      </w:r>
      <w:r w:rsidR="000629DB">
        <w:rPr>
          <w:rStyle w:val="EndnoteReference"/>
        </w:rPr>
        <w:endnoteReference w:id="10"/>
      </w:r>
      <w:r w:rsidR="000629DB">
        <w:t xml:space="preserve">  </w:t>
      </w:r>
    </w:p>
    <w:p w14:paraId="7B934A6E" w14:textId="5B00161B" w:rsidR="000629DB" w:rsidRDefault="00E672F5" w:rsidP="00BA767A">
      <w:pPr>
        <w:suppressAutoHyphens/>
        <w:spacing w:line="480" w:lineRule="auto"/>
        <w:ind w:firstLine="432"/>
      </w:pPr>
      <w:r>
        <w:t xml:space="preserve">However, at least some of the appointments involved substantive positions that have been filled as links between the top and bottom of departments by past presidents. </w:t>
      </w:r>
      <w:r w:rsidR="000629DB">
        <w:t>By mid-</w:t>
      </w:r>
      <w:r w:rsidR="000629DB">
        <w:lastRenderedPageBreak/>
        <w:t xml:space="preserve">March, for example, the </w:t>
      </w:r>
      <w:r>
        <w:t>Trump Administration</w:t>
      </w:r>
      <w:r w:rsidR="000629DB">
        <w:t xml:space="preserve"> had already appointed a Principal Deputy Assistant Attorney General and a Principal De</w:t>
      </w:r>
      <w:r>
        <w:t xml:space="preserve">puty Associate Attorney General, as well as a chief of staff to the Secretary of Defense. </w:t>
      </w:r>
      <w:r w:rsidR="0046240F">
        <w:t xml:space="preserve"> ProPublica is not clear </w:t>
      </w:r>
      <w:r>
        <w:t>on who made these choices, but it would be highly unusual if a chief of staff to a secretary was appointed as a White House agent, especially at a department headed by a secretary nicknamed “Mad Dog.”</w:t>
      </w:r>
    </w:p>
    <w:p w14:paraId="000B074D" w14:textId="77777777" w:rsidR="00640B1D" w:rsidRDefault="00E672F5" w:rsidP="00BA767A">
      <w:pPr>
        <w:spacing w:line="480" w:lineRule="auto"/>
        <w:ind w:firstLine="432"/>
      </w:pPr>
      <w:r>
        <w:t>Moreover, many of the White House overseers do not have the requisite experience to monitor their agencies or track their targets.  Indeed, many of the</w:t>
      </w:r>
      <w:r w:rsidR="008642A1">
        <w:t xml:space="preserve"> 400 appointees are former campaign aides and </w:t>
      </w:r>
      <w:r w:rsidR="00FA6BF1">
        <w:t xml:space="preserve">members of the administration’s </w:t>
      </w:r>
      <w:r>
        <w:t>transition “landing teams</w:t>
      </w:r>
      <w:r w:rsidR="008642A1">
        <w:t xml:space="preserve">” </w:t>
      </w:r>
      <w:r>
        <w:t xml:space="preserve">who were clearly being rewarded more for their service than knowledge.  </w:t>
      </w:r>
    </w:p>
    <w:p w14:paraId="0E1B17E3" w14:textId="1ABE9E2B" w:rsidR="00142DDF" w:rsidRDefault="00E672F5" w:rsidP="00BA767A">
      <w:pPr>
        <w:spacing w:line="480" w:lineRule="auto"/>
        <w:ind w:firstLine="432"/>
      </w:pPr>
      <w:r>
        <w:t xml:space="preserve">This is not to discount the </w:t>
      </w:r>
      <w:r w:rsidR="00F12223">
        <w:t xml:space="preserve">self-interested </w:t>
      </w:r>
      <w:r>
        <w:t xml:space="preserve">former lobbyists who </w:t>
      </w:r>
      <w:r w:rsidR="00F12223">
        <w:t xml:space="preserve">found lucrative employment for their K-Street futures, </w:t>
      </w:r>
      <w:r>
        <w:t>but e</w:t>
      </w:r>
      <w:r w:rsidR="00640B1D">
        <w:t xml:space="preserve">ven lobbyists may have trouble tracking a </w:t>
      </w:r>
      <w:r w:rsidR="00F12223">
        <w:t>cabinet secretary such as Defense Secretary James “Mad</w:t>
      </w:r>
      <w:r w:rsidR="006F04AC">
        <w:t xml:space="preserve"> D</w:t>
      </w:r>
      <w:r w:rsidR="00F12223">
        <w:t>og” Mattis</w:t>
      </w:r>
      <w:r w:rsidR="00640B1D">
        <w:t xml:space="preserve"> from meeting to meeting.  If they lobbied the regulatory process at all, they will have their tightest connections with the offices of public affairs, regulatory review, and policy development than the office of the secretary a</w:t>
      </w:r>
      <w:r w:rsidR="006F04AC">
        <w:t>nd other high-level appointees.</w:t>
      </w:r>
    </w:p>
    <w:p w14:paraId="14AC14DD" w14:textId="22585ECC" w:rsidR="00A72B0E" w:rsidRDefault="00FA6BF1" w:rsidP="00BA767A">
      <w:pPr>
        <w:spacing w:line="480" w:lineRule="auto"/>
        <w:ind w:firstLine="432"/>
      </w:pPr>
      <w:r>
        <w:t xml:space="preserve">The variation in status </w:t>
      </w:r>
      <w:r w:rsidR="00640B1D">
        <w:t>among the</w:t>
      </w:r>
      <w:r w:rsidR="006F04AC">
        <w:t>se</w:t>
      </w:r>
      <w:r w:rsidR="00640B1D">
        <w:t xml:space="preserve"> 400 </w:t>
      </w:r>
      <w:r w:rsidR="006F04AC">
        <w:t>political appointees i</w:t>
      </w:r>
      <w:r>
        <w:t xml:space="preserve">s clear in the </w:t>
      </w:r>
      <w:r w:rsidR="00142DDF">
        <w:t>pay grades.  T</w:t>
      </w:r>
      <w:r>
        <w:t xml:space="preserve">he chiefs of staff and senior </w:t>
      </w:r>
      <w:r w:rsidR="004B61B5">
        <w:t xml:space="preserve">White House </w:t>
      </w:r>
      <w:r w:rsidR="00640B1D">
        <w:t xml:space="preserve">advisors on the </w:t>
      </w:r>
      <w:r w:rsidR="00640B1D" w:rsidRPr="00AF6F61">
        <w:t>ProPublica</w:t>
      </w:r>
      <w:r w:rsidR="00640B1D">
        <w:rPr>
          <w:i/>
        </w:rPr>
        <w:t xml:space="preserve"> </w:t>
      </w:r>
      <w:r w:rsidR="00640B1D">
        <w:t>list were appointed at</w:t>
      </w:r>
      <w:r w:rsidR="004B61B5">
        <w:t xml:space="preserve"> the top of the salary schedule as </w:t>
      </w:r>
      <w:r w:rsidR="00142DDF">
        <w:t>political</w:t>
      </w:r>
      <w:r>
        <w:t xml:space="preserve"> members of the Senior Executive</w:t>
      </w:r>
      <w:r w:rsidR="004B61B5">
        <w:t xml:space="preserve"> Service, while the rest of the 400 </w:t>
      </w:r>
      <w:r w:rsidR="00142DDF">
        <w:t xml:space="preserve">appear to be </w:t>
      </w:r>
      <w:r w:rsidR="004B61B5">
        <w:t>personal and confidential assistants at the mid</w:t>
      </w:r>
      <w:r w:rsidR="00142DDF">
        <w:t>dle</w:t>
      </w:r>
      <w:r w:rsidR="00640B1D">
        <w:t xml:space="preserve"> of the schedule or even temporary appointees </w:t>
      </w:r>
      <w:r w:rsidR="001244B4">
        <w:t xml:space="preserve">at the very bottom of their departments and agencies.  The SES’ers are the most likely to ramble in and out of meetings, but, again, many of the Trump cabinet officers have plenty of experience with boards of directors, federal regulators, clever enemies, and government itself. </w:t>
      </w:r>
    </w:p>
    <w:p w14:paraId="6CD68447" w14:textId="77777777" w:rsidR="00E70B68" w:rsidRDefault="00142DDF" w:rsidP="00BA767A">
      <w:pPr>
        <w:spacing w:line="480" w:lineRule="auto"/>
        <w:ind w:firstLine="432"/>
      </w:pPr>
      <w:r>
        <w:t xml:space="preserve">Based on the pay grades, most of the 400 will eventually receive one of the lesser titles in the inventory listed above.  This does not mean they will be irrelevant, but it does suggest </w:t>
      </w:r>
      <w:r>
        <w:lastRenderedPageBreak/>
        <w:t>that they will not be particularly effective overseers and “commissars,” as one Defense De</w:t>
      </w:r>
      <w:r w:rsidR="00E70B68">
        <w:t>partment official described the White House loyalist sent to the Pentagon to keep watch.</w:t>
      </w:r>
      <w:r w:rsidR="00E70B68">
        <w:rPr>
          <w:rStyle w:val="EndnoteReference"/>
        </w:rPr>
        <w:endnoteReference w:id="11"/>
      </w:r>
      <w:r w:rsidR="00E70B68">
        <w:t xml:space="preserve"> </w:t>
      </w:r>
    </w:p>
    <w:p w14:paraId="435E08A9" w14:textId="273D8579" w:rsidR="008F5315" w:rsidRDefault="00E70B68" w:rsidP="00BA767A">
      <w:pPr>
        <w:spacing w:line="480" w:lineRule="auto"/>
        <w:ind w:firstLine="432"/>
        <w:rPr>
          <w:rFonts w:eastAsia="Times New Roman"/>
          <w:color w:val="000000"/>
          <w:shd w:val="clear" w:color="auto" w:fill="FFFFFF"/>
        </w:rPr>
      </w:pPr>
      <w:r>
        <w:t xml:space="preserve">  </w:t>
      </w:r>
      <w:r w:rsidR="008642A1" w:rsidRPr="00046881">
        <w:t xml:space="preserve">Trump </w:t>
      </w:r>
      <w:r>
        <w:t xml:space="preserve">is not the first president </w:t>
      </w:r>
      <w:r w:rsidR="008642A1" w:rsidRPr="00046881">
        <w:t xml:space="preserve">to salt </w:t>
      </w:r>
      <w:r w:rsidR="004B3261">
        <w:t xml:space="preserve">the cabinet ranks with loyalists. </w:t>
      </w:r>
      <w:r w:rsidR="00A72B0E" w:rsidRPr="00046881">
        <w:t xml:space="preserve">Presidents Clinton, George W. Bush, and </w:t>
      </w:r>
      <w:r w:rsidR="008D1549" w:rsidRPr="00046881">
        <w:t xml:space="preserve">Obama </w:t>
      </w:r>
      <w:r w:rsidR="00A72B0E" w:rsidRPr="00046881">
        <w:t xml:space="preserve">all </w:t>
      </w:r>
      <w:r w:rsidR="008D1549" w:rsidRPr="00046881">
        <w:t xml:space="preserve">did some salting, too, </w:t>
      </w:r>
      <w:r w:rsidR="004B3261">
        <w:t xml:space="preserve">and they could always find an appointment for a friend.  However, most presidents eventually decide </w:t>
      </w:r>
      <w:r w:rsidR="008D1549" w:rsidRPr="00046881">
        <w:t xml:space="preserve">that the best way to control the cabinet was to ignore it or appoint policy czars to eclipse it. </w:t>
      </w:r>
      <w:r w:rsidR="00597B77">
        <w:t xml:space="preserve">Assuming Trump believes the cabinet is spy-worthy, he </w:t>
      </w:r>
      <w:r w:rsidR="00597B77">
        <w:rPr>
          <w:rFonts w:eastAsia="Times New Roman"/>
          <w:color w:val="000000"/>
          <w:shd w:val="clear" w:color="auto" w:fill="FFFFFF"/>
        </w:rPr>
        <w:t xml:space="preserve">may be </w:t>
      </w:r>
      <w:r w:rsidR="00597B77" w:rsidRPr="00046881">
        <w:rPr>
          <w:rFonts w:eastAsia="Times New Roman"/>
          <w:color w:val="000000"/>
          <w:shd w:val="clear" w:color="auto" w:fill="FFFFFF"/>
        </w:rPr>
        <w:t>showing his naiveté about governing yet again.</w:t>
      </w:r>
      <w:r w:rsidR="00597B77" w:rsidRPr="00046881">
        <w:rPr>
          <w:rStyle w:val="EndnoteReference"/>
          <w:rFonts w:eastAsia="Times New Roman"/>
          <w:color w:val="000000"/>
          <w:shd w:val="clear" w:color="auto" w:fill="FFFFFF"/>
        </w:rPr>
        <w:endnoteReference w:id="12"/>
      </w:r>
      <w:r w:rsidR="008F5315" w:rsidRPr="008F5315">
        <w:t xml:space="preserve"> </w:t>
      </w:r>
      <w:r w:rsidR="008F5315">
        <w:t>His loyalists are easy to identify and are not well linked to the White House itself.  They report to lower-level White House staff housed in the Old Executive Office Building, which Vice President Walter Mondale once described as like being in Baltimore.</w:t>
      </w:r>
      <w:r w:rsidR="008F5315">
        <w:rPr>
          <w:rFonts w:eastAsia="Times New Roman"/>
          <w:color w:val="000000"/>
          <w:shd w:val="clear" w:color="auto" w:fill="FFFFFF"/>
        </w:rPr>
        <w:t xml:space="preserve"> </w:t>
      </w:r>
    </w:p>
    <w:p w14:paraId="43A0364A" w14:textId="445B7624" w:rsidR="00E70B68" w:rsidRDefault="008F5315" w:rsidP="00BA767A">
      <w:pPr>
        <w:suppressAutoHyphens/>
        <w:spacing w:line="480" w:lineRule="auto"/>
        <w:ind w:firstLine="432"/>
      </w:pPr>
      <w:r>
        <w:rPr>
          <w:rFonts w:eastAsia="Times New Roman"/>
          <w:color w:val="000000"/>
          <w:shd w:val="clear" w:color="auto" w:fill="FFFFFF"/>
        </w:rPr>
        <w:t>Nevertheless, w</w:t>
      </w:r>
      <w:r w:rsidR="007C562E">
        <w:t xml:space="preserve">ith so many </w:t>
      </w:r>
      <w:r w:rsidR="000629DB">
        <w:t>Senate-confirmed appointees stuck in the nomination or confirmation</w:t>
      </w:r>
      <w:r w:rsidR="007C562E">
        <w:t xml:space="preserve"> process, and so much pressure to tamp down spending and regulation, the Trump administration’s watchful eye make</w:t>
      </w:r>
      <w:r w:rsidR="00FA6142">
        <w:t xml:space="preserve">s sense. </w:t>
      </w:r>
      <w:r>
        <w:rPr>
          <w:rFonts w:eastAsia="Times New Roman"/>
          <w:color w:val="000000"/>
          <w:shd w:val="clear" w:color="auto" w:fill="FFFFFF"/>
        </w:rPr>
        <w:t xml:space="preserve"> It also makes the administration look faster than it is—he may be moving at a snail’s pace on his subcabinet, but he has been surprisingly fast in putting people on people on people to keep the cabinet in line</w:t>
      </w:r>
      <w:r w:rsidR="000629DB">
        <w:t>.</w:t>
      </w:r>
      <w:r w:rsidR="00E70B68">
        <w:t xml:space="preserve"> </w:t>
      </w:r>
    </w:p>
    <w:p w14:paraId="37F2788D" w14:textId="77777777" w:rsidR="001244B4" w:rsidRDefault="001244B4" w:rsidP="00BA767A">
      <w:pPr>
        <w:suppressAutoHyphens/>
        <w:spacing w:line="480" w:lineRule="auto"/>
        <w:ind w:firstLine="432"/>
      </w:pPr>
    </w:p>
    <w:p w14:paraId="6C077949" w14:textId="19AB8A33" w:rsidR="001244B4" w:rsidRDefault="001244B4" w:rsidP="001244B4">
      <w:pPr>
        <w:suppressAutoHyphens/>
        <w:spacing w:line="480" w:lineRule="auto"/>
        <w:ind w:firstLine="432"/>
        <w:jc w:val="center"/>
      </w:pPr>
      <w:r>
        <w:t>OPTIONS FOR DELAYERING</w:t>
      </w:r>
    </w:p>
    <w:p w14:paraId="75C4CAF8" w14:textId="77777777" w:rsidR="001244B4" w:rsidRDefault="001244B4" w:rsidP="001244B4">
      <w:pPr>
        <w:suppressAutoHyphens/>
        <w:spacing w:line="480" w:lineRule="auto"/>
        <w:ind w:firstLine="432"/>
        <w:jc w:val="center"/>
      </w:pPr>
    </w:p>
    <w:p w14:paraId="64E194FA" w14:textId="62DE9EF7" w:rsidR="001244B4" w:rsidRDefault="001244B4" w:rsidP="001244B4">
      <w:pPr>
        <w:suppressAutoHyphens/>
        <w:spacing w:line="480" w:lineRule="auto"/>
        <w:ind w:firstLine="432"/>
      </w:pPr>
      <w:r>
        <w:tab/>
        <w:t xml:space="preserve">Trump’s decision to </w:t>
      </w:r>
      <w:r w:rsidR="00AF6F61">
        <w:t>simply ignore unnecessary jobs will</w:t>
      </w:r>
      <w:r>
        <w:t xml:space="preserve"> undermine his ability to avoid the fog of bureaucratic </w:t>
      </w:r>
      <w:r w:rsidR="006F0499">
        <w:t xml:space="preserve">action.  Moreover, it will decimate the governing links between the top of his departments and bottom of his agencies.  The less he knows about what is happening in government, the more likely he is to be at the helm of highly-visible breakdowns such as the veterans waiting list scandal and the continued problems at the Secret Service.  </w:t>
      </w:r>
    </w:p>
    <w:p w14:paraId="5CC41CB0" w14:textId="5530D7A1" w:rsidR="006F0499" w:rsidRDefault="006F0499" w:rsidP="001244B4">
      <w:pPr>
        <w:suppressAutoHyphens/>
        <w:spacing w:line="480" w:lineRule="auto"/>
        <w:ind w:firstLine="432"/>
      </w:pPr>
      <w:r>
        <w:lastRenderedPageBreak/>
        <w:t>If Trump is truly serious about eliminating unnecessary leadership posts, he should order a careful evaluation of every non-statutory title.  If these evaluations find layers and leaders that serve more to fog the chain of command than create accountability, their positions should be eliminated and their jobs reclassif</w:t>
      </w:r>
      <w:r w:rsidR="003B1496">
        <w:t>ied downward.  Even when an evaluation shows mission-critical impact, it should be tested for potential reorganization when the current occupant leaves.  No position should be exempt unless listed in statute, and even these posts could be challenged through the budget process.</w:t>
      </w:r>
    </w:p>
    <w:p w14:paraId="710CF1E6" w14:textId="77777777" w:rsidR="001C7BAC" w:rsidRDefault="003B1496" w:rsidP="001C7BAC">
      <w:pPr>
        <w:suppressAutoHyphens/>
        <w:spacing w:line="480" w:lineRule="auto"/>
        <w:ind w:firstLine="432"/>
      </w:pPr>
      <w:r>
        <w:t xml:space="preserve">Trump may believe that vacancies are just as effective as targeted downsizing, but Al Gore and his team of reinventors know better.  Targeting is the secret to impact, but can only be done with care.  Most experts agree that the federal leadership hierarchy is now much too tall, wide, and isolating, but the flattening must be done with care, not benign or deliberate neglect.  </w:t>
      </w:r>
      <w:r w:rsidR="001C7BAC">
        <w:tab/>
      </w:r>
    </w:p>
    <w:p w14:paraId="062504AB" w14:textId="18A8E8A9" w:rsidR="003B1496" w:rsidRDefault="003B1496" w:rsidP="001C7BAC">
      <w:pPr>
        <w:suppressAutoHyphens/>
        <w:spacing w:line="480" w:lineRule="auto"/>
        <w:ind w:firstLine="432"/>
      </w:pPr>
      <w:r>
        <w:t xml:space="preserve">At least for now, the neglect has weakened the president’s ability to stop the recent cascade of federal breakdowns and undermined his ability to send directions and collect information from the bottom of his organization.  </w:t>
      </w:r>
      <w:r w:rsidR="001C7BAC">
        <w:t xml:space="preserve">He would never leave a key position open in his own business and should either remove non-essential layers and leaders or fill the jobs with experts who know how to deliver and collect information.  Loyalists may fit the job descriptions, but nonpartisanship is also essential for providing options up and down the chain of command.  </w:t>
      </w:r>
    </w:p>
    <w:p w14:paraId="0CEB0244" w14:textId="6CBD20B0" w:rsidR="000629DB" w:rsidRPr="008F5315" w:rsidRDefault="000629DB" w:rsidP="00BA767A">
      <w:pPr>
        <w:spacing w:line="480" w:lineRule="auto"/>
        <w:ind w:firstLine="432"/>
        <w:rPr>
          <w:rFonts w:eastAsia="Times New Roman"/>
          <w:color w:val="000000"/>
          <w:shd w:val="clear" w:color="auto" w:fill="FFFFFF"/>
        </w:rPr>
      </w:pPr>
    </w:p>
    <w:p w14:paraId="2EC299D6" w14:textId="77777777" w:rsidR="004E36B9" w:rsidRPr="000629DB" w:rsidRDefault="004E36B9" w:rsidP="00BA767A"/>
    <w:sectPr w:rsidR="004E36B9" w:rsidRPr="000629DB" w:rsidSect="00E323D4">
      <w:footerReference w:type="even" r:id="rId9"/>
      <w:footerReference w:type="default" r:id="rId10"/>
      <w:endnotePr>
        <w:numFmt w:val="decimal"/>
      </w:endnotePr>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57FE23" w14:textId="77777777" w:rsidR="00EC7542" w:rsidRDefault="00EC7542" w:rsidP="00831DAA">
      <w:r>
        <w:separator/>
      </w:r>
    </w:p>
  </w:endnote>
  <w:endnote w:type="continuationSeparator" w:id="0">
    <w:p w14:paraId="69F55E5A" w14:textId="77777777" w:rsidR="00EC7542" w:rsidRDefault="00EC7542" w:rsidP="00831DAA">
      <w:r>
        <w:continuationSeparator/>
      </w:r>
    </w:p>
  </w:endnote>
  <w:endnote w:id="1">
    <w:p w14:paraId="3E637C49" w14:textId="28B5040E" w:rsidR="00FB2251" w:rsidRPr="009C05BA" w:rsidRDefault="00FB2251" w:rsidP="00C23E1F">
      <w:pPr>
        <w:pStyle w:val="EndnoteText"/>
        <w:spacing w:line="276" w:lineRule="auto"/>
      </w:pPr>
      <w:r>
        <w:rPr>
          <w:rStyle w:val="EndnoteReference"/>
        </w:rPr>
        <w:endnoteRef/>
      </w:r>
      <w:r>
        <w:t xml:space="preserve"> These counts are based on coding of the </w:t>
      </w:r>
      <w:r w:rsidR="008C5C69" w:rsidRPr="00871B14">
        <w:rPr>
          <w:i/>
        </w:rPr>
        <w:t>Federal Yellow Book</w:t>
      </w:r>
      <w:r>
        <w:t xml:space="preserve"> published quarterly by Leadership Directories, Inc. I have found the leadership directories to be much more accurate the congressional inventories contained in the </w:t>
      </w:r>
      <w:r>
        <w:rPr>
          <w:i/>
        </w:rPr>
        <w:t>Plum Book</w:t>
      </w:r>
      <w:r>
        <w:t xml:space="preserve"> of presidential policy positions released before every presidential election. The </w:t>
      </w:r>
      <w:r>
        <w:rPr>
          <w:i/>
        </w:rPr>
        <w:t xml:space="preserve">Plum Book </w:t>
      </w:r>
      <w:r>
        <w:t>is only as accurate as the selected information forwarded from the public affairs or management offices within each department and agency, while the leadership directories are collected and carefully validated to match every phone number in each department and agency phonebook.</w:t>
      </w:r>
    </w:p>
  </w:endnote>
  <w:endnote w:id="2">
    <w:p w14:paraId="5B5A743B" w14:textId="1C6D25D9" w:rsidR="00912C1A" w:rsidRPr="00791A86" w:rsidRDefault="00912C1A">
      <w:pPr>
        <w:pStyle w:val="EndnoteText"/>
      </w:pPr>
      <w:r>
        <w:rPr>
          <w:rStyle w:val="EndnoteReference"/>
        </w:rPr>
        <w:endnoteRef/>
      </w:r>
      <w:r>
        <w:t xml:space="preserve"> </w:t>
      </w:r>
      <w:r w:rsidR="00791A86">
        <w:t xml:space="preserve">The </w:t>
      </w:r>
      <w:r w:rsidR="00791A86">
        <w:rPr>
          <w:i/>
        </w:rPr>
        <w:t>Federal Yellow Book</w:t>
      </w:r>
      <w:r w:rsidR="00791A86">
        <w:t xml:space="preserve"> is published quarterly by Leadership Directories, Inc., and is also available online.  Further information is available at </w:t>
      </w:r>
      <w:r w:rsidR="00791A86" w:rsidRPr="00791A86">
        <w:t>https://www.leadershipdirectories.com/Products/LeadershipinPrint/Government/FederalYellowBook</w:t>
      </w:r>
      <w:r w:rsidR="00791A86">
        <w:t xml:space="preserve">.  Prior to the mid-1990s, the </w:t>
      </w:r>
      <w:r w:rsidR="00791A86">
        <w:rPr>
          <w:i/>
        </w:rPr>
        <w:t>Federal Yellow Book</w:t>
      </w:r>
      <w:r w:rsidR="00791A86">
        <w:t xml:space="preserve"> was only published in print.</w:t>
      </w:r>
    </w:p>
  </w:endnote>
  <w:endnote w:id="3">
    <w:p w14:paraId="7D202BF3" w14:textId="77777777" w:rsidR="005C14D3" w:rsidRPr="0091611A" w:rsidRDefault="005C14D3" w:rsidP="00C10C28">
      <w:pPr>
        <w:pStyle w:val="EndnoteText"/>
        <w:spacing w:line="276" w:lineRule="auto"/>
      </w:pPr>
      <w:r>
        <w:rPr>
          <w:rStyle w:val="EndnoteReference"/>
        </w:rPr>
        <w:endnoteRef/>
      </w:r>
      <w:r>
        <w:t xml:space="preserve"> For the story of the elevation of the Veterans Administration to cabinet status as the Department of Veterans Affairs during Reagan’s term, see Paul C. Light, </w:t>
      </w:r>
      <w:r>
        <w:rPr>
          <w:i/>
        </w:rPr>
        <w:t>Forging Legislation</w:t>
      </w:r>
      <w:r>
        <w:t>, (W.W. Norton, 1992).</w:t>
      </w:r>
    </w:p>
  </w:endnote>
  <w:endnote w:id="4">
    <w:p w14:paraId="7730F0B2" w14:textId="77777777" w:rsidR="001E5FE5" w:rsidRPr="0010665B" w:rsidRDefault="001E5FE5" w:rsidP="00C10C28">
      <w:pPr>
        <w:spacing w:line="276" w:lineRule="auto"/>
        <w:rPr>
          <w:color w:val="000000" w:themeColor="text1"/>
        </w:rPr>
      </w:pPr>
      <w:r w:rsidRPr="0010665B">
        <w:rPr>
          <w:rStyle w:val="EndnoteReference"/>
          <w:color w:val="000000" w:themeColor="text1"/>
        </w:rPr>
        <w:endnoteRef/>
      </w:r>
      <w:r w:rsidRPr="0010665B">
        <w:rPr>
          <w:color w:val="000000" w:themeColor="text1"/>
        </w:rPr>
        <w:t xml:space="preserve"> </w:t>
      </w:r>
      <w:r w:rsidRPr="0010665B">
        <w:rPr>
          <w:rFonts w:eastAsia="Times New Roman"/>
          <w:color w:val="000000" w:themeColor="text1"/>
          <w:shd w:val="clear" w:color="auto" w:fill="FFFFFF"/>
        </w:rPr>
        <w:t>Ronald Reagan, “The President's News Conference,” August 12, 1986, made available online by Gerhard Peters and John T. Woolley, </w:t>
      </w:r>
      <w:r w:rsidRPr="0010665B">
        <w:rPr>
          <w:rFonts w:eastAsia="Times New Roman"/>
          <w:i/>
          <w:iCs/>
          <w:color w:val="000000" w:themeColor="text1"/>
          <w:shd w:val="clear" w:color="auto" w:fill="FFFFFF"/>
        </w:rPr>
        <w:t>The American Presidency Project</w:t>
      </w:r>
      <w:r w:rsidRPr="0010665B">
        <w:rPr>
          <w:rFonts w:eastAsia="Times New Roman"/>
          <w:color w:val="000000" w:themeColor="text1"/>
          <w:shd w:val="clear" w:color="auto" w:fill="FFFFFF"/>
        </w:rPr>
        <w:t>, at http://www.presidency.ucsb.edu/ws/?pid=37733.</w:t>
      </w:r>
    </w:p>
  </w:endnote>
  <w:endnote w:id="5">
    <w:p w14:paraId="5F13B7B9" w14:textId="77777777" w:rsidR="00FB2251" w:rsidRPr="00FD220B" w:rsidRDefault="00FB2251" w:rsidP="00C10C28">
      <w:pPr>
        <w:pStyle w:val="EndnoteText"/>
        <w:spacing w:line="276" w:lineRule="auto"/>
      </w:pPr>
      <w:r w:rsidRPr="00FD220B">
        <w:rPr>
          <w:rStyle w:val="EndnoteReference"/>
        </w:rPr>
        <w:endnoteRef/>
      </w:r>
      <w:r w:rsidRPr="00FD220B">
        <w:t xml:space="preserve"> See Paul C. Light, </w:t>
      </w:r>
      <w:r w:rsidRPr="00FD220B">
        <w:rPr>
          <w:i/>
        </w:rPr>
        <w:t>Thickening Government: Federal Hierarchy and the Diffusion of Accountability</w:t>
      </w:r>
      <w:r w:rsidRPr="00FD220B">
        <w:t xml:space="preserve"> (Brookings Institution Press, 2005).</w:t>
      </w:r>
    </w:p>
  </w:endnote>
  <w:endnote w:id="6">
    <w:p w14:paraId="127C3011" w14:textId="77777777" w:rsidR="00FB2251" w:rsidRPr="00FD220B" w:rsidRDefault="00FB2251" w:rsidP="00C23E1F">
      <w:pPr>
        <w:pStyle w:val="EndnoteText"/>
        <w:spacing w:line="276" w:lineRule="auto"/>
      </w:pPr>
      <w:r w:rsidRPr="00FD220B">
        <w:rPr>
          <w:rStyle w:val="EndnoteReference"/>
        </w:rPr>
        <w:endnoteRef/>
      </w:r>
      <w:r>
        <w:t xml:space="preserve"> Ibid. See </w:t>
      </w:r>
      <w:r w:rsidRPr="00FD220B">
        <w:t>pp. 82-85 for counts of the distance between the top and bottom of the chains of command from the top of departments such as Veterans Affairs all the way down to the front-line nurses</w:t>
      </w:r>
      <w:r>
        <w:t>.</w:t>
      </w:r>
    </w:p>
  </w:endnote>
  <w:endnote w:id="7">
    <w:p w14:paraId="044606CD" w14:textId="77777777" w:rsidR="00FB2251" w:rsidRPr="00BB0539" w:rsidRDefault="00FB2251" w:rsidP="00C23E1F">
      <w:pPr>
        <w:pStyle w:val="EndnoteText"/>
        <w:spacing w:line="276" w:lineRule="auto"/>
      </w:pPr>
      <w:r w:rsidRPr="00BB0539">
        <w:rPr>
          <w:rStyle w:val="EndnoteReference"/>
        </w:rPr>
        <w:endnoteRef/>
      </w:r>
      <w:r w:rsidRPr="00BB0539">
        <w:t xml:space="preserve"> Paul J. DiMaggio and Walter W. Powell, “The Iron Cage Revisited: Institutional Isomorphism and Collective Rationality in Organizational Fields,” in Powell and DiMaggio, eds., </w:t>
      </w:r>
      <w:r w:rsidRPr="00BB0539">
        <w:rPr>
          <w:i/>
        </w:rPr>
        <w:t>The New Institutionalism in Organizational Analysis</w:t>
      </w:r>
      <w:r w:rsidRPr="00BB0539">
        <w:t xml:space="preserve"> </w:t>
      </w:r>
      <w:r>
        <w:t>(</w:t>
      </w:r>
      <w:r w:rsidRPr="00BB0539">
        <w:t>Chicago: University of Chicago Press, 1991</w:t>
      </w:r>
      <w:r>
        <w:t>)</w:t>
      </w:r>
      <w:r w:rsidRPr="00BB0539">
        <w:t xml:space="preserve">, </w:t>
      </w:r>
      <w:r>
        <w:t xml:space="preserve">pp. 60-79, quoted at </w:t>
      </w:r>
      <w:r w:rsidRPr="00BB0539">
        <w:t>pp. 63-64, 67.</w:t>
      </w:r>
    </w:p>
  </w:endnote>
  <w:endnote w:id="8">
    <w:p w14:paraId="5AF589AA" w14:textId="77777777" w:rsidR="00FB2251" w:rsidRPr="00FD220B" w:rsidRDefault="00FB2251" w:rsidP="00C23E1F">
      <w:pPr>
        <w:pStyle w:val="EndnoteText"/>
        <w:spacing w:line="276" w:lineRule="auto"/>
      </w:pPr>
      <w:r w:rsidRPr="00FD220B">
        <w:rPr>
          <w:rStyle w:val="EndnoteReference"/>
        </w:rPr>
        <w:endnoteRef/>
      </w:r>
      <w:r>
        <w:t xml:space="preserve"> </w:t>
      </w:r>
      <w:r w:rsidRPr="00FD220B">
        <w:t xml:space="preserve">For the transcript of the interview, see Chris Cillizza, “Donald Trump’s A+/C+ Presidency,” </w:t>
      </w:r>
      <w:r w:rsidRPr="00FD220B">
        <w:rPr>
          <w:i/>
        </w:rPr>
        <w:t>Washington Post,</w:t>
      </w:r>
      <w:r w:rsidRPr="00FD220B">
        <w:t xml:space="preserve"> February 28, 2017.</w:t>
      </w:r>
    </w:p>
  </w:endnote>
  <w:endnote w:id="9">
    <w:p w14:paraId="18AF1A19" w14:textId="77777777" w:rsidR="00FB2251" w:rsidRPr="00EC6818" w:rsidRDefault="00FB2251" w:rsidP="00C23E1F">
      <w:pPr>
        <w:pStyle w:val="Heading1"/>
        <w:shd w:val="clear" w:color="auto" w:fill="FFFFFF"/>
        <w:spacing w:before="0" w:beforeAutospacing="0" w:after="0" w:afterAutospacing="0" w:line="276" w:lineRule="auto"/>
        <w:textAlignment w:val="baseline"/>
        <w:rPr>
          <w:rFonts w:ascii="Times New Roman" w:hAnsi="Times New Roman" w:cs="Times New Roman"/>
          <w:color w:val="000000" w:themeColor="text1"/>
          <w:sz w:val="24"/>
          <w:szCs w:val="24"/>
        </w:rPr>
      </w:pPr>
      <w:r w:rsidRPr="00FD220B">
        <w:rPr>
          <w:rStyle w:val="EndnoteReference"/>
          <w:rFonts w:ascii="Times New Roman" w:eastAsia="Times New Roman" w:hAnsi="Times New Roman" w:cs="Times New Roman"/>
          <w:b w:val="0"/>
          <w:bCs w:val="0"/>
          <w:kern w:val="0"/>
          <w:sz w:val="24"/>
          <w:szCs w:val="24"/>
          <w:lang w:eastAsia="en-IN" w:bidi="he-IL"/>
        </w:rPr>
        <w:endnoteRef/>
      </w:r>
      <w:r>
        <w:rPr>
          <w:rFonts w:ascii="Times New Roman" w:eastAsia="Times New Roman" w:hAnsi="Times New Roman" w:cs="Times New Roman"/>
          <w:bCs w:val="0"/>
          <w:kern w:val="0"/>
          <w:sz w:val="24"/>
          <w:szCs w:val="24"/>
          <w:lang w:eastAsia="en-IN" w:bidi="he-IL"/>
        </w:rPr>
        <w:t xml:space="preserve"> </w:t>
      </w:r>
      <w:r w:rsidRPr="00FD220B">
        <w:rPr>
          <w:rFonts w:ascii="Times New Roman" w:hAnsi="Times New Roman" w:cs="Times New Roman"/>
          <w:b w:val="0"/>
          <w:sz w:val="24"/>
          <w:szCs w:val="24"/>
        </w:rPr>
        <w:t>I used this phrase in an NPR interview with Bryan Naylor on March 6, 2017; See Bryan Naylor, “</w:t>
      </w:r>
      <w:r w:rsidRPr="00FD220B">
        <w:rPr>
          <w:rFonts w:ascii="Times New Roman" w:eastAsia="Times New Roman" w:hAnsi="Times New Roman" w:cs="Times New Roman"/>
          <w:b w:val="0"/>
          <w:bCs w:val="0"/>
          <w:color w:val="333333"/>
          <w:spacing w:val="-1"/>
          <w:sz w:val="24"/>
          <w:szCs w:val="24"/>
        </w:rPr>
        <w:t>Trump Has Many Jobs Unfilled; Is He 'Deconstructing the Administrative State'?” NPR, March 6, 2017.</w:t>
      </w:r>
    </w:p>
  </w:endnote>
  <w:endnote w:id="10">
    <w:p w14:paraId="711F17D0" w14:textId="77777777" w:rsidR="00FB2251" w:rsidRDefault="00FB2251" w:rsidP="00C23E1F">
      <w:pPr>
        <w:pStyle w:val="Heading1"/>
        <w:shd w:val="clear" w:color="auto" w:fill="FFFFFF"/>
        <w:spacing w:before="0" w:beforeAutospacing="0" w:after="0" w:afterAutospacing="0" w:line="276" w:lineRule="auto"/>
        <w:jc w:val="both"/>
        <w:textAlignment w:val="baseline"/>
      </w:pPr>
      <w:r w:rsidRPr="00EC6818">
        <w:rPr>
          <w:rStyle w:val="EndnoteReference"/>
          <w:rFonts w:ascii="Times New Roman" w:hAnsi="Times New Roman" w:cs="Times New Roman"/>
          <w:b w:val="0"/>
          <w:color w:val="000000" w:themeColor="text1"/>
          <w:sz w:val="24"/>
          <w:szCs w:val="24"/>
        </w:rPr>
        <w:endnoteRef/>
      </w:r>
      <w:r w:rsidRPr="00EC6818">
        <w:rPr>
          <w:rFonts w:ascii="Times New Roman" w:hAnsi="Times New Roman" w:cs="Times New Roman"/>
          <w:b w:val="0"/>
          <w:color w:val="000000" w:themeColor="text1"/>
          <w:sz w:val="24"/>
          <w:szCs w:val="24"/>
        </w:rPr>
        <w:t xml:space="preserve"> </w:t>
      </w:r>
      <w:r w:rsidRPr="00EC6818">
        <w:rPr>
          <w:rStyle w:val="apple-converted-space"/>
          <w:rFonts w:ascii="Times New Roman" w:hAnsi="Times New Roman" w:cs="Times New Roman"/>
          <w:b w:val="0"/>
          <w:i/>
          <w:iCs/>
          <w:color w:val="000000" w:themeColor="text1"/>
          <w:sz w:val="24"/>
          <w:szCs w:val="24"/>
        </w:rPr>
        <w:t> </w:t>
      </w:r>
      <w:r w:rsidRPr="00EC6818">
        <w:rPr>
          <w:rFonts w:ascii="Times New Roman" w:hAnsi="Times New Roman" w:cs="Times New Roman"/>
          <w:b w:val="0"/>
          <w:iCs/>
          <w:color w:val="000000" w:themeColor="text1"/>
          <w:sz w:val="24"/>
          <w:szCs w:val="24"/>
          <w:bdr w:val="none" w:sz="0" w:space="0" w:color="auto" w:frame="1"/>
        </w:rPr>
        <w:t>Al Shaw</w:t>
      </w:r>
      <w:r w:rsidRPr="00EC6818">
        <w:rPr>
          <w:rFonts w:ascii="Times New Roman" w:hAnsi="Times New Roman" w:cs="Times New Roman"/>
          <w:b w:val="0"/>
          <w:iCs/>
          <w:color w:val="000000" w:themeColor="text1"/>
          <w:sz w:val="24"/>
          <w:szCs w:val="24"/>
        </w:rPr>
        <w:t>,</w:t>
      </w:r>
      <w:r w:rsidRPr="00EC6818">
        <w:rPr>
          <w:rStyle w:val="apple-converted-space"/>
          <w:rFonts w:ascii="Times New Roman" w:hAnsi="Times New Roman" w:cs="Times New Roman"/>
          <w:b w:val="0"/>
          <w:iCs/>
          <w:color w:val="000000" w:themeColor="text1"/>
          <w:sz w:val="24"/>
          <w:szCs w:val="24"/>
        </w:rPr>
        <w:t> </w:t>
      </w:r>
      <w:r w:rsidRPr="00EC6818">
        <w:rPr>
          <w:rFonts w:ascii="Times New Roman" w:hAnsi="Times New Roman" w:cs="Times New Roman"/>
          <w:b w:val="0"/>
          <w:iCs/>
          <w:color w:val="000000" w:themeColor="text1"/>
          <w:sz w:val="24"/>
          <w:szCs w:val="24"/>
          <w:bdr w:val="none" w:sz="0" w:space="0" w:color="auto" w:frame="1"/>
        </w:rPr>
        <w:t>Justin Elliott</w:t>
      </w:r>
      <w:r w:rsidRPr="00EC6818">
        <w:rPr>
          <w:rStyle w:val="apple-converted-space"/>
          <w:rFonts w:ascii="Times New Roman" w:hAnsi="Times New Roman" w:cs="Times New Roman"/>
          <w:b w:val="0"/>
          <w:iCs/>
          <w:color w:val="000000" w:themeColor="text1"/>
          <w:sz w:val="24"/>
          <w:szCs w:val="24"/>
        </w:rPr>
        <w:t> </w:t>
      </w:r>
      <w:r w:rsidRPr="00EC6818">
        <w:rPr>
          <w:rFonts w:ascii="Times New Roman" w:hAnsi="Times New Roman" w:cs="Times New Roman"/>
          <w:b w:val="0"/>
          <w:iCs/>
          <w:color w:val="000000" w:themeColor="text1"/>
          <w:sz w:val="24"/>
          <w:szCs w:val="24"/>
        </w:rPr>
        <w:t>and</w:t>
      </w:r>
      <w:r w:rsidRPr="00EC6818">
        <w:rPr>
          <w:rStyle w:val="apple-converted-space"/>
          <w:rFonts w:ascii="Times New Roman" w:hAnsi="Times New Roman" w:cs="Times New Roman"/>
          <w:b w:val="0"/>
          <w:iCs/>
          <w:color w:val="000000" w:themeColor="text1"/>
          <w:sz w:val="24"/>
          <w:szCs w:val="24"/>
        </w:rPr>
        <w:t> </w:t>
      </w:r>
      <w:r w:rsidRPr="00EC6818">
        <w:rPr>
          <w:rFonts w:ascii="Times New Roman" w:hAnsi="Times New Roman" w:cs="Times New Roman"/>
          <w:b w:val="0"/>
          <w:iCs/>
          <w:color w:val="000000" w:themeColor="text1"/>
          <w:sz w:val="24"/>
          <w:szCs w:val="24"/>
          <w:bdr w:val="none" w:sz="0" w:space="0" w:color="auto" w:frame="1"/>
        </w:rPr>
        <w:t>Derek Kravitz</w:t>
      </w:r>
      <w:r w:rsidRPr="00EC6818">
        <w:rPr>
          <w:rFonts w:ascii="Times New Roman" w:hAnsi="Times New Roman" w:cs="Times New Roman"/>
          <w:b w:val="0"/>
          <w:i/>
          <w:iCs/>
          <w:color w:val="000000" w:themeColor="text1"/>
          <w:sz w:val="24"/>
          <w:szCs w:val="24"/>
        </w:rPr>
        <w:t>, “</w:t>
      </w:r>
      <w:r w:rsidRPr="00EC6818">
        <w:rPr>
          <w:rFonts w:ascii="Times New Roman" w:eastAsia="Times New Roman" w:hAnsi="Times New Roman" w:cs="Times New Roman"/>
          <w:b w:val="0"/>
          <w:color w:val="000000" w:themeColor="text1"/>
          <w:sz w:val="24"/>
          <w:szCs w:val="24"/>
        </w:rPr>
        <w:t xml:space="preserve">Here are More than 400 Officials Trump has Quietly Deployed Across the Government” </w:t>
      </w:r>
      <w:r w:rsidRPr="00AF6F61">
        <w:rPr>
          <w:rFonts w:ascii="Times New Roman" w:eastAsia="Times New Roman" w:hAnsi="Times New Roman" w:cs="Times New Roman"/>
          <w:b w:val="0"/>
          <w:color w:val="000000" w:themeColor="text1"/>
          <w:sz w:val="24"/>
          <w:szCs w:val="24"/>
        </w:rPr>
        <w:t>ProPublica</w:t>
      </w:r>
      <w:r w:rsidRPr="00EC6818">
        <w:rPr>
          <w:rFonts w:ascii="Times New Roman" w:eastAsia="Times New Roman" w:hAnsi="Times New Roman" w:cs="Times New Roman"/>
          <w:b w:val="0"/>
          <w:color w:val="000000" w:themeColor="text1"/>
          <w:sz w:val="24"/>
          <w:szCs w:val="24"/>
        </w:rPr>
        <w:t>,</w:t>
      </w:r>
      <w:r w:rsidRPr="00EC6818">
        <w:rPr>
          <w:rFonts w:ascii="Times New Roman" w:hAnsi="Times New Roman" w:cs="Times New Roman"/>
          <w:b w:val="0"/>
          <w:iCs/>
          <w:color w:val="000000" w:themeColor="text1"/>
          <w:sz w:val="24"/>
          <w:szCs w:val="24"/>
        </w:rPr>
        <w:t xml:space="preserve"> March 8, 2017</w:t>
      </w:r>
      <w:r w:rsidRPr="00EC6818">
        <w:rPr>
          <w:rFonts w:ascii="Times New Roman" w:hAnsi="Times New Roman" w:cs="Times New Roman"/>
          <w:b w:val="0"/>
          <w:i/>
          <w:iCs/>
          <w:color w:val="000000" w:themeColor="text1"/>
          <w:sz w:val="24"/>
          <w:szCs w:val="24"/>
        </w:rPr>
        <w:t xml:space="preserve">, </w:t>
      </w:r>
      <w:r w:rsidRPr="00EC6818">
        <w:rPr>
          <w:rFonts w:ascii="Times New Roman" w:hAnsi="Times New Roman" w:cs="Times New Roman"/>
          <w:b w:val="0"/>
          <w:iCs/>
          <w:color w:val="000000" w:themeColor="text1"/>
          <w:sz w:val="24"/>
          <w:szCs w:val="24"/>
        </w:rPr>
        <w:t>Updated March 17, 2017</w:t>
      </w:r>
      <w:r w:rsidRPr="00EC6818">
        <w:rPr>
          <w:rFonts w:ascii="Times New Roman" w:hAnsi="Times New Roman" w:cs="Times New Roman"/>
          <w:b w:val="0"/>
          <w:i/>
          <w:iCs/>
          <w:color w:val="000000" w:themeColor="text1"/>
          <w:sz w:val="24"/>
          <w:szCs w:val="24"/>
        </w:rPr>
        <w:t xml:space="preserve">, </w:t>
      </w:r>
      <w:r w:rsidRPr="00EC6818">
        <w:rPr>
          <w:rFonts w:ascii="Times New Roman" w:hAnsi="Times New Roman" w:cs="Times New Roman"/>
          <w:b w:val="0"/>
          <w:iCs/>
          <w:color w:val="000000" w:themeColor="text1"/>
          <w:sz w:val="24"/>
          <w:szCs w:val="24"/>
        </w:rPr>
        <w:t>available at https://projects.propublica.org/graphics/beachhead</w:t>
      </w:r>
    </w:p>
  </w:endnote>
  <w:endnote w:id="11">
    <w:p w14:paraId="6225F2B7" w14:textId="122575EA" w:rsidR="00FB2251" w:rsidRDefault="00FB2251" w:rsidP="00C23E1F">
      <w:pPr>
        <w:spacing w:line="276" w:lineRule="auto"/>
      </w:pPr>
      <w:r>
        <w:rPr>
          <w:rStyle w:val="EndnoteReference"/>
        </w:rPr>
        <w:endnoteRef/>
      </w:r>
      <w:r>
        <w:t xml:space="preserve"> </w:t>
      </w:r>
      <w:r w:rsidRPr="0040795D">
        <w:rPr>
          <w:rFonts w:eastAsia="Times New Roman"/>
          <w:bCs/>
          <w:color w:val="2A2A2A"/>
        </w:rPr>
        <w:t xml:space="preserve">Lisa Rein and </w:t>
      </w:r>
      <w:r w:rsidR="00871B14">
        <w:rPr>
          <w:rFonts w:eastAsia="Times New Roman"/>
          <w:bCs/>
          <w:color w:val="2A2A2A"/>
        </w:rPr>
        <w:t>Julliet Ellperin, “White House I</w:t>
      </w:r>
      <w:r w:rsidRPr="0040795D">
        <w:rPr>
          <w:rFonts w:eastAsia="Times New Roman"/>
          <w:bCs/>
          <w:color w:val="2A2A2A"/>
        </w:rPr>
        <w:t xml:space="preserve">nstalls </w:t>
      </w:r>
      <w:r w:rsidR="00871B14">
        <w:rPr>
          <w:rFonts w:eastAsia="Times New Roman"/>
          <w:bCs/>
          <w:color w:val="2A2A2A"/>
        </w:rPr>
        <w:t>Political Aides at</w:t>
      </w:r>
      <w:r w:rsidR="00871B14" w:rsidRPr="0040795D">
        <w:rPr>
          <w:rFonts w:eastAsia="Times New Roman"/>
          <w:bCs/>
          <w:color w:val="2A2A2A"/>
        </w:rPr>
        <w:t xml:space="preserve"> </w:t>
      </w:r>
      <w:r w:rsidRPr="0040795D">
        <w:rPr>
          <w:rFonts w:eastAsia="Times New Roman"/>
          <w:bCs/>
          <w:color w:val="2A2A2A"/>
        </w:rPr>
        <w:t xml:space="preserve">Cabinet </w:t>
      </w:r>
      <w:r w:rsidR="00871B14">
        <w:rPr>
          <w:rFonts w:eastAsia="Times New Roman"/>
          <w:bCs/>
          <w:color w:val="2A2A2A"/>
        </w:rPr>
        <w:t>Agencies t</w:t>
      </w:r>
      <w:r w:rsidR="00871B14" w:rsidRPr="0040795D">
        <w:rPr>
          <w:rFonts w:eastAsia="Times New Roman"/>
          <w:bCs/>
          <w:color w:val="2A2A2A"/>
        </w:rPr>
        <w:t xml:space="preserve">o Be </w:t>
      </w:r>
      <w:r w:rsidRPr="0040795D">
        <w:rPr>
          <w:rFonts w:eastAsia="Times New Roman"/>
          <w:bCs/>
          <w:color w:val="2A2A2A"/>
        </w:rPr>
        <w:t xml:space="preserve">Trump’s </w:t>
      </w:r>
      <w:r w:rsidR="00871B14">
        <w:rPr>
          <w:rFonts w:eastAsia="Times New Roman"/>
          <w:bCs/>
          <w:color w:val="2A2A2A"/>
        </w:rPr>
        <w:t>Eyes a</w:t>
      </w:r>
      <w:r w:rsidR="00871B14" w:rsidRPr="0040795D">
        <w:rPr>
          <w:rFonts w:eastAsia="Times New Roman"/>
          <w:bCs/>
          <w:color w:val="2A2A2A"/>
        </w:rPr>
        <w:t>nd Ears</w:t>
      </w:r>
      <w:r w:rsidRPr="0040795D">
        <w:rPr>
          <w:rFonts w:eastAsia="Times New Roman"/>
          <w:bCs/>
          <w:color w:val="2A2A2A"/>
        </w:rPr>
        <w:t xml:space="preserve">,” </w:t>
      </w:r>
      <w:r w:rsidRPr="0040795D">
        <w:rPr>
          <w:rFonts w:eastAsia="Times New Roman"/>
          <w:bCs/>
          <w:i/>
          <w:color w:val="2A2A2A"/>
        </w:rPr>
        <w:t>Washington Post</w:t>
      </w:r>
      <w:r w:rsidRPr="0040795D">
        <w:rPr>
          <w:rFonts w:eastAsia="Times New Roman"/>
          <w:bCs/>
          <w:color w:val="2A2A2A"/>
        </w:rPr>
        <w:t>, March 19.</w:t>
      </w:r>
    </w:p>
  </w:endnote>
  <w:endnote w:id="12">
    <w:p w14:paraId="51EF3A5E" w14:textId="77777777" w:rsidR="00FB2251" w:rsidRPr="007C562E" w:rsidRDefault="00FB2251" w:rsidP="00C23E1F">
      <w:pPr>
        <w:pStyle w:val="EndnoteText"/>
        <w:spacing w:line="276" w:lineRule="auto"/>
      </w:pPr>
      <w:r>
        <w:rPr>
          <w:rStyle w:val="EndnoteReference"/>
        </w:rPr>
        <w:endnoteRef/>
      </w:r>
      <w:r>
        <w:t xml:space="preserve"> See Glenn Thrush, “Locked in the Cabinet,” </w:t>
      </w:r>
      <w:r>
        <w:rPr>
          <w:i/>
        </w:rPr>
        <w:t>Politico</w:t>
      </w:r>
      <w:r>
        <w:t>, November 2013 for a history of cabinet frustrations.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TNTEditorial">
    <w:altName w:val="Arial"/>
    <w:panose1 w:val="00000000000000000000"/>
    <w:charset w:val="00"/>
    <w:family w:val="modern"/>
    <w:notTrueType/>
    <w:pitch w:val="variable"/>
    <w:sig w:usb0="00000007" w:usb1="00000000" w:usb2="00000000" w:usb3="00000000" w:csb0="0000001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75764" w14:textId="77777777" w:rsidR="00FB2251" w:rsidRDefault="00FB2251" w:rsidP="00FB2251">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F09B80" w14:textId="77777777" w:rsidR="00FB2251" w:rsidRDefault="00FB225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A6DAF0" w14:textId="77777777" w:rsidR="00FB2251" w:rsidRDefault="00FB2251" w:rsidP="00FB2251">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F54D0">
      <w:rPr>
        <w:rStyle w:val="PageNumber"/>
        <w:noProof/>
      </w:rPr>
      <w:t>1</w:t>
    </w:r>
    <w:r>
      <w:rPr>
        <w:rStyle w:val="PageNumber"/>
      </w:rPr>
      <w:fldChar w:fldCharType="end"/>
    </w:r>
  </w:p>
  <w:p w14:paraId="2729EBF3" w14:textId="77777777" w:rsidR="00FB2251" w:rsidRDefault="00FB225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330714" w14:textId="77777777" w:rsidR="00EC7542" w:rsidRDefault="00EC7542" w:rsidP="00831DAA">
      <w:r>
        <w:separator/>
      </w:r>
    </w:p>
  </w:footnote>
  <w:footnote w:type="continuationSeparator" w:id="0">
    <w:p w14:paraId="722DE08D" w14:textId="77777777" w:rsidR="00EC7542" w:rsidRDefault="00EC7542" w:rsidP="00831DA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A637D"/>
    <w:multiLevelType w:val="singleLevel"/>
    <w:tmpl w:val="0409000F"/>
    <w:lvl w:ilvl="0">
      <w:start w:val="1"/>
      <w:numFmt w:val="decimal"/>
      <w:lvlText w:val="%1."/>
      <w:lvlJc w:val="left"/>
      <w:pPr>
        <w:tabs>
          <w:tab w:val="num" w:pos="360"/>
        </w:tabs>
        <w:ind w:left="360" w:hanging="360"/>
      </w:pPr>
    </w:lvl>
  </w:abstractNum>
  <w:abstractNum w:abstractNumId="1">
    <w:nsid w:val="40E42E8B"/>
    <w:multiLevelType w:val="hybridMultilevel"/>
    <w:tmpl w:val="C2364472"/>
    <w:lvl w:ilvl="0" w:tplc="142C55D2">
      <w:start w:val="1"/>
      <w:numFmt w:val="decimal"/>
      <w:lvlText w:val="%1."/>
      <w:lvlJc w:val="left"/>
      <w:pPr>
        <w:ind w:left="545" w:hanging="360"/>
      </w:pPr>
      <w:rPr>
        <w:sz w:val="16"/>
        <w:szCs w:val="16"/>
        <w:vertAlign w:val="baseline"/>
      </w:rPr>
    </w:lvl>
    <w:lvl w:ilvl="1" w:tplc="210E9CA8">
      <w:start w:val="1"/>
      <w:numFmt w:val="decimal"/>
      <w:lvlText w:val="(%2)"/>
      <w:lvlJc w:val="left"/>
      <w:pPr>
        <w:ind w:left="1515" w:hanging="700"/>
      </w:pPr>
      <w:rPr>
        <w:rFonts w:hint="default"/>
      </w:rPr>
    </w:lvl>
    <w:lvl w:ilvl="2" w:tplc="0409001B" w:tentative="1">
      <w:start w:val="1"/>
      <w:numFmt w:val="lowerRoman"/>
      <w:lvlText w:val="%3."/>
      <w:lvlJc w:val="right"/>
      <w:pPr>
        <w:ind w:left="1895" w:hanging="180"/>
      </w:pPr>
    </w:lvl>
    <w:lvl w:ilvl="3" w:tplc="0409000F" w:tentative="1">
      <w:start w:val="1"/>
      <w:numFmt w:val="decimal"/>
      <w:lvlText w:val="%4."/>
      <w:lvlJc w:val="left"/>
      <w:pPr>
        <w:ind w:left="2615" w:hanging="360"/>
      </w:pPr>
    </w:lvl>
    <w:lvl w:ilvl="4" w:tplc="04090019" w:tentative="1">
      <w:start w:val="1"/>
      <w:numFmt w:val="lowerLetter"/>
      <w:lvlText w:val="%5."/>
      <w:lvlJc w:val="left"/>
      <w:pPr>
        <w:ind w:left="3335" w:hanging="360"/>
      </w:pPr>
    </w:lvl>
    <w:lvl w:ilvl="5" w:tplc="0409001B" w:tentative="1">
      <w:start w:val="1"/>
      <w:numFmt w:val="lowerRoman"/>
      <w:lvlText w:val="%6."/>
      <w:lvlJc w:val="right"/>
      <w:pPr>
        <w:ind w:left="4055" w:hanging="180"/>
      </w:pPr>
    </w:lvl>
    <w:lvl w:ilvl="6" w:tplc="0409000F" w:tentative="1">
      <w:start w:val="1"/>
      <w:numFmt w:val="decimal"/>
      <w:lvlText w:val="%7."/>
      <w:lvlJc w:val="left"/>
      <w:pPr>
        <w:ind w:left="4775" w:hanging="360"/>
      </w:pPr>
    </w:lvl>
    <w:lvl w:ilvl="7" w:tplc="04090019" w:tentative="1">
      <w:start w:val="1"/>
      <w:numFmt w:val="lowerLetter"/>
      <w:lvlText w:val="%8."/>
      <w:lvlJc w:val="left"/>
      <w:pPr>
        <w:ind w:left="5495" w:hanging="360"/>
      </w:pPr>
    </w:lvl>
    <w:lvl w:ilvl="8" w:tplc="0409001B" w:tentative="1">
      <w:start w:val="1"/>
      <w:numFmt w:val="lowerRoman"/>
      <w:lvlText w:val="%9."/>
      <w:lvlJc w:val="right"/>
      <w:pPr>
        <w:ind w:left="6215" w:hanging="180"/>
      </w:pPr>
    </w:lvl>
  </w:abstractNum>
  <w:abstractNum w:abstractNumId="2">
    <w:nsid w:val="6D907E68"/>
    <w:multiLevelType w:val="hybridMultilevel"/>
    <w:tmpl w:val="6CE60E84"/>
    <w:lvl w:ilvl="0" w:tplc="04090001">
      <w:start w:val="1"/>
      <w:numFmt w:val="bullet"/>
      <w:lvlText w:val=""/>
      <w:lvlJc w:val="left"/>
      <w:pPr>
        <w:ind w:left="684" w:hanging="360"/>
      </w:pPr>
      <w:rPr>
        <w:rFonts w:ascii="Symbol" w:hAnsi="Symbol" w:hint="default"/>
      </w:rPr>
    </w:lvl>
    <w:lvl w:ilvl="1" w:tplc="04090003" w:tentative="1">
      <w:start w:val="1"/>
      <w:numFmt w:val="bullet"/>
      <w:lvlText w:val="o"/>
      <w:lvlJc w:val="left"/>
      <w:pPr>
        <w:ind w:left="1404" w:hanging="360"/>
      </w:pPr>
      <w:rPr>
        <w:rFonts w:ascii="Courier New" w:hAnsi="Courier New" w:cs="Courier New" w:hint="default"/>
      </w:rPr>
    </w:lvl>
    <w:lvl w:ilvl="2" w:tplc="04090005" w:tentative="1">
      <w:start w:val="1"/>
      <w:numFmt w:val="bullet"/>
      <w:lvlText w:val=""/>
      <w:lvlJc w:val="left"/>
      <w:pPr>
        <w:ind w:left="2124" w:hanging="360"/>
      </w:pPr>
      <w:rPr>
        <w:rFonts w:ascii="Wingdings" w:hAnsi="Wingdings" w:hint="default"/>
      </w:rPr>
    </w:lvl>
    <w:lvl w:ilvl="3" w:tplc="04090001" w:tentative="1">
      <w:start w:val="1"/>
      <w:numFmt w:val="bullet"/>
      <w:lvlText w:val=""/>
      <w:lvlJc w:val="left"/>
      <w:pPr>
        <w:ind w:left="2844" w:hanging="360"/>
      </w:pPr>
      <w:rPr>
        <w:rFonts w:ascii="Symbol" w:hAnsi="Symbol" w:hint="default"/>
      </w:rPr>
    </w:lvl>
    <w:lvl w:ilvl="4" w:tplc="04090003" w:tentative="1">
      <w:start w:val="1"/>
      <w:numFmt w:val="bullet"/>
      <w:lvlText w:val="o"/>
      <w:lvlJc w:val="left"/>
      <w:pPr>
        <w:ind w:left="3564" w:hanging="360"/>
      </w:pPr>
      <w:rPr>
        <w:rFonts w:ascii="Courier New" w:hAnsi="Courier New" w:cs="Courier New" w:hint="default"/>
      </w:rPr>
    </w:lvl>
    <w:lvl w:ilvl="5" w:tplc="04090005" w:tentative="1">
      <w:start w:val="1"/>
      <w:numFmt w:val="bullet"/>
      <w:lvlText w:val=""/>
      <w:lvlJc w:val="left"/>
      <w:pPr>
        <w:ind w:left="4284" w:hanging="360"/>
      </w:pPr>
      <w:rPr>
        <w:rFonts w:ascii="Wingdings" w:hAnsi="Wingdings" w:hint="default"/>
      </w:rPr>
    </w:lvl>
    <w:lvl w:ilvl="6" w:tplc="04090001" w:tentative="1">
      <w:start w:val="1"/>
      <w:numFmt w:val="bullet"/>
      <w:lvlText w:val=""/>
      <w:lvlJc w:val="left"/>
      <w:pPr>
        <w:ind w:left="5004" w:hanging="360"/>
      </w:pPr>
      <w:rPr>
        <w:rFonts w:ascii="Symbol" w:hAnsi="Symbol" w:hint="default"/>
      </w:rPr>
    </w:lvl>
    <w:lvl w:ilvl="7" w:tplc="04090003" w:tentative="1">
      <w:start w:val="1"/>
      <w:numFmt w:val="bullet"/>
      <w:lvlText w:val="o"/>
      <w:lvlJc w:val="left"/>
      <w:pPr>
        <w:ind w:left="5724" w:hanging="360"/>
      </w:pPr>
      <w:rPr>
        <w:rFonts w:ascii="Courier New" w:hAnsi="Courier New" w:cs="Courier New" w:hint="default"/>
      </w:rPr>
    </w:lvl>
    <w:lvl w:ilvl="8" w:tplc="04090005" w:tentative="1">
      <w:start w:val="1"/>
      <w:numFmt w:val="bullet"/>
      <w:lvlText w:val=""/>
      <w:lvlJc w:val="left"/>
      <w:pPr>
        <w:ind w:left="6444" w:hanging="360"/>
      </w:pPr>
      <w:rPr>
        <w:rFonts w:ascii="Wingdings" w:hAnsi="Wingdings" w:hint="default"/>
      </w:rPr>
    </w:lvl>
  </w:abstractNum>
  <w:abstractNum w:abstractNumId="3">
    <w:nsid w:val="733B65B5"/>
    <w:multiLevelType w:val="hybridMultilevel"/>
    <w:tmpl w:val="C2364472"/>
    <w:lvl w:ilvl="0" w:tplc="142C55D2">
      <w:start w:val="1"/>
      <w:numFmt w:val="decimal"/>
      <w:lvlText w:val="%1."/>
      <w:lvlJc w:val="left"/>
      <w:pPr>
        <w:ind w:left="810" w:hanging="360"/>
      </w:pPr>
      <w:rPr>
        <w:sz w:val="16"/>
        <w:szCs w:val="16"/>
        <w:vertAlign w:val="baseline"/>
      </w:rPr>
    </w:lvl>
    <w:lvl w:ilvl="1" w:tplc="210E9CA8">
      <w:start w:val="1"/>
      <w:numFmt w:val="decimal"/>
      <w:lvlText w:val="(%2)"/>
      <w:lvlJc w:val="left"/>
      <w:pPr>
        <w:ind w:left="1780" w:hanging="70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7"/>
  <w:proofState w:spelling="clean" w:grammar="clean"/>
  <w:attachedTemplate r:id="rId1"/>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2E5"/>
    <w:rsid w:val="00001F53"/>
    <w:rsid w:val="000047A6"/>
    <w:rsid w:val="00006EC2"/>
    <w:rsid w:val="00046881"/>
    <w:rsid w:val="000552EA"/>
    <w:rsid w:val="00057DB0"/>
    <w:rsid w:val="00062346"/>
    <w:rsid w:val="0006242B"/>
    <w:rsid w:val="000629DB"/>
    <w:rsid w:val="00092B24"/>
    <w:rsid w:val="00096384"/>
    <w:rsid w:val="000A6059"/>
    <w:rsid w:val="000B16A2"/>
    <w:rsid w:val="000B6835"/>
    <w:rsid w:val="000D1CC9"/>
    <w:rsid w:val="000E1C2D"/>
    <w:rsid w:val="000E56FE"/>
    <w:rsid w:val="001036D7"/>
    <w:rsid w:val="001124A3"/>
    <w:rsid w:val="00113E17"/>
    <w:rsid w:val="001173FC"/>
    <w:rsid w:val="00117A54"/>
    <w:rsid w:val="001244B4"/>
    <w:rsid w:val="00124992"/>
    <w:rsid w:val="00133102"/>
    <w:rsid w:val="00142167"/>
    <w:rsid w:val="00142DDF"/>
    <w:rsid w:val="001615B2"/>
    <w:rsid w:val="001618F4"/>
    <w:rsid w:val="001629D9"/>
    <w:rsid w:val="001820B6"/>
    <w:rsid w:val="00191D51"/>
    <w:rsid w:val="0019619D"/>
    <w:rsid w:val="00197DF5"/>
    <w:rsid w:val="001B4B02"/>
    <w:rsid w:val="001C4E46"/>
    <w:rsid w:val="001C7BAC"/>
    <w:rsid w:val="001D2B61"/>
    <w:rsid w:val="001D51B3"/>
    <w:rsid w:val="001E5FE5"/>
    <w:rsid w:val="001F31E8"/>
    <w:rsid w:val="002139FA"/>
    <w:rsid w:val="00236FAB"/>
    <w:rsid w:val="00240182"/>
    <w:rsid w:val="0024151B"/>
    <w:rsid w:val="0024396B"/>
    <w:rsid w:val="00244FAA"/>
    <w:rsid w:val="002505BC"/>
    <w:rsid w:val="002508DB"/>
    <w:rsid w:val="0026330B"/>
    <w:rsid w:val="00264AD3"/>
    <w:rsid w:val="00265031"/>
    <w:rsid w:val="00292B99"/>
    <w:rsid w:val="00295883"/>
    <w:rsid w:val="002A72C3"/>
    <w:rsid w:val="002B2B7F"/>
    <w:rsid w:val="002B3915"/>
    <w:rsid w:val="002C1D67"/>
    <w:rsid w:val="002C48BE"/>
    <w:rsid w:val="002D7496"/>
    <w:rsid w:val="002E7104"/>
    <w:rsid w:val="002F164F"/>
    <w:rsid w:val="002F3A0B"/>
    <w:rsid w:val="002F54D0"/>
    <w:rsid w:val="0030594C"/>
    <w:rsid w:val="00325232"/>
    <w:rsid w:val="00341527"/>
    <w:rsid w:val="00351534"/>
    <w:rsid w:val="00352104"/>
    <w:rsid w:val="00357CCA"/>
    <w:rsid w:val="00371E2B"/>
    <w:rsid w:val="00394B37"/>
    <w:rsid w:val="003B1496"/>
    <w:rsid w:val="003B4354"/>
    <w:rsid w:val="003C426C"/>
    <w:rsid w:val="003C6127"/>
    <w:rsid w:val="003D5001"/>
    <w:rsid w:val="003E340D"/>
    <w:rsid w:val="003E6868"/>
    <w:rsid w:val="00400273"/>
    <w:rsid w:val="00410CB6"/>
    <w:rsid w:val="0041657E"/>
    <w:rsid w:val="0045792D"/>
    <w:rsid w:val="0046240F"/>
    <w:rsid w:val="00470926"/>
    <w:rsid w:val="00471CC3"/>
    <w:rsid w:val="004B2C06"/>
    <w:rsid w:val="004B3261"/>
    <w:rsid w:val="004B3BA0"/>
    <w:rsid w:val="004B6105"/>
    <w:rsid w:val="004B61B5"/>
    <w:rsid w:val="004B67FF"/>
    <w:rsid w:val="004E223A"/>
    <w:rsid w:val="004E36B9"/>
    <w:rsid w:val="00500557"/>
    <w:rsid w:val="00507A01"/>
    <w:rsid w:val="00511BF3"/>
    <w:rsid w:val="00530003"/>
    <w:rsid w:val="00555397"/>
    <w:rsid w:val="005575B2"/>
    <w:rsid w:val="0056383B"/>
    <w:rsid w:val="0058059E"/>
    <w:rsid w:val="00597B77"/>
    <w:rsid w:val="005A7F8A"/>
    <w:rsid w:val="005C14D3"/>
    <w:rsid w:val="005C351D"/>
    <w:rsid w:val="005C4D64"/>
    <w:rsid w:val="005D16E9"/>
    <w:rsid w:val="005D471E"/>
    <w:rsid w:val="005E69A0"/>
    <w:rsid w:val="006042E5"/>
    <w:rsid w:val="0060570F"/>
    <w:rsid w:val="00605E3C"/>
    <w:rsid w:val="00607F6C"/>
    <w:rsid w:val="00610066"/>
    <w:rsid w:val="00622838"/>
    <w:rsid w:val="0062542B"/>
    <w:rsid w:val="006330B1"/>
    <w:rsid w:val="006339EC"/>
    <w:rsid w:val="00635698"/>
    <w:rsid w:val="0063669F"/>
    <w:rsid w:val="00640B1D"/>
    <w:rsid w:val="00663AA9"/>
    <w:rsid w:val="00666410"/>
    <w:rsid w:val="00677E03"/>
    <w:rsid w:val="006928D0"/>
    <w:rsid w:val="006A029D"/>
    <w:rsid w:val="006A22EF"/>
    <w:rsid w:val="006A7913"/>
    <w:rsid w:val="006B21D0"/>
    <w:rsid w:val="006B4F75"/>
    <w:rsid w:val="006C6DEE"/>
    <w:rsid w:val="006E408C"/>
    <w:rsid w:val="006F0499"/>
    <w:rsid w:val="006F04AC"/>
    <w:rsid w:val="006F2005"/>
    <w:rsid w:val="006F2F8A"/>
    <w:rsid w:val="007032A3"/>
    <w:rsid w:val="0073595D"/>
    <w:rsid w:val="00753C3A"/>
    <w:rsid w:val="00761810"/>
    <w:rsid w:val="007665DA"/>
    <w:rsid w:val="00777D33"/>
    <w:rsid w:val="00791A86"/>
    <w:rsid w:val="007A305F"/>
    <w:rsid w:val="007B3552"/>
    <w:rsid w:val="007C562E"/>
    <w:rsid w:val="007C60BC"/>
    <w:rsid w:val="007E3734"/>
    <w:rsid w:val="007E6397"/>
    <w:rsid w:val="00801BD5"/>
    <w:rsid w:val="008100D6"/>
    <w:rsid w:val="00824054"/>
    <w:rsid w:val="00826909"/>
    <w:rsid w:val="00831DAA"/>
    <w:rsid w:val="00832419"/>
    <w:rsid w:val="00835A5D"/>
    <w:rsid w:val="008466D5"/>
    <w:rsid w:val="00851FC7"/>
    <w:rsid w:val="00862419"/>
    <w:rsid w:val="008642A1"/>
    <w:rsid w:val="00865CE6"/>
    <w:rsid w:val="0087104A"/>
    <w:rsid w:val="00871B14"/>
    <w:rsid w:val="00880C08"/>
    <w:rsid w:val="00891AF7"/>
    <w:rsid w:val="00894EF1"/>
    <w:rsid w:val="008A6CAF"/>
    <w:rsid w:val="008A6FA7"/>
    <w:rsid w:val="008A75A8"/>
    <w:rsid w:val="008B296C"/>
    <w:rsid w:val="008B6444"/>
    <w:rsid w:val="008C5C69"/>
    <w:rsid w:val="008C6C80"/>
    <w:rsid w:val="008D1549"/>
    <w:rsid w:val="008D2A7E"/>
    <w:rsid w:val="008D35AF"/>
    <w:rsid w:val="008D3A79"/>
    <w:rsid w:val="008E3B10"/>
    <w:rsid w:val="008E6D31"/>
    <w:rsid w:val="008F2CEA"/>
    <w:rsid w:val="008F2F78"/>
    <w:rsid w:val="008F5315"/>
    <w:rsid w:val="0090052E"/>
    <w:rsid w:val="00905294"/>
    <w:rsid w:val="00912C1A"/>
    <w:rsid w:val="00923682"/>
    <w:rsid w:val="00931245"/>
    <w:rsid w:val="00932776"/>
    <w:rsid w:val="009443C5"/>
    <w:rsid w:val="00951692"/>
    <w:rsid w:val="00952B24"/>
    <w:rsid w:val="0095641D"/>
    <w:rsid w:val="00961FF3"/>
    <w:rsid w:val="009657B2"/>
    <w:rsid w:val="00965B7D"/>
    <w:rsid w:val="00973686"/>
    <w:rsid w:val="009741CB"/>
    <w:rsid w:val="00983280"/>
    <w:rsid w:val="00985B84"/>
    <w:rsid w:val="009C0184"/>
    <w:rsid w:val="009C171D"/>
    <w:rsid w:val="009D72A7"/>
    <w:rsid w:val="009E4BF0"/>
    <w:rsid w:val="009F14C9"/>
    <w:rsid w:val="00A35C81"/>
    <w:rsid w:val="00A477C5"/>
    <w:rsid w:val="00A510C9"/>
    <w:rsid w:val="00A51253"/>
    <w:rsid w:val="00A5405C"/>
    <w:rsid w:val="00A56469"/>
    <w:rsid w:val="00A67372"/>
    <w:rsid w:val="00A718D6"/>
    <w:rsid w:val="00A72B0E"/>
    <w:rsid w:val="00A83232"/>
    <w:rsid w:val="00A851BE"/>
    <w:rsid w:val="00A90D19"/>
    <w:rsid w:val="00A948B7"/>
    <w:rsid w:val="00A96713"/>
    <w:rsid w:val="00AC7DB2"/>
    <w:rsid w:val="00AD1DCD"/>
    <w:rsid w:val="00AD72BE"/>
    <w:rsid w:val="00AF48D3"/>
    <w:rsid w:val="00AF6F61"/>
    <w:rsid w:val="00B07AC4"/>
    <w:rsid w:val="00B263E4"/>
    <w:rsid w:val="00B33928"/>
    <w:rsid w:val="00B42B47"/>
    <w:rsid w:val="00B50B79"/>
    <w:rsid w:val="00B87038"/>
    <w:rsid w:val="00B91B3A"/>
    <w:rsid w:val="00BA767A"/>
    <w:rsid w:val="00BC2E89"/>
    <w:rsid w:val="00BE7A14"/>
    <w:rsid w:val="00BF2792"/>
    <w:rsid w:val="00C00130"/>
    <w:rsid w:val="00C04978"/>
    <w:rsid w:val="00C10C28"/>
    <w:rsid w:val="00C20522"/>
    <w:rsid w:val="00C23E1F"/>
    <w:rsid w:val="00C2685C"/>
    <w:rsid w:val="00C2751D"/>
    <w:rsid w:val="00C311C5"/>
    <w:rsid w:val="00C34273"/>
    <w:rsid w:val="00C35BCB"/>
    <w:rsid w:val="00C37159"/>
    <w:rsid w:val="00C40250"/>
    <w:rsid w:val="00C5395C"/>
    <w:rsid w:val="00C84373"/>
    <w:rsid w:val="00C90EDA"/>
    <w:rsid w:val="00CB3A54"/>
    <w:rsid w:val="00CB486A"/>
    <w:rsid w:val="00CB6CD6"/>
    <w:rsid w:val="00CD67AC"/>
    <w:rsid w:val="00CE0BFF"/>
    <w:rsid w:val="00CF0B77"/>
    <w:rsid w:val="00CF7610"/>
    <w:rsid w:val="00D00CB6"/>
    <w:rsid w:val="00D33425"/>
    <w:rsid w:val="00D5128D"/>
    <w:rsid w:val="00D55C60"/>
    <w:rsid w:val="00D928E9"/>
    <w:rsid w:val="00DA11CB"/>
    <w:rsid w:val="00DA16C7"/>
    <w:rsid w:val="00DA4357"/>
    <w:rsid w:val="00DA539A"/>
    <w:rsid w:val="00DA77A9"/>
    <w:rsid w:val="00DB1084"/>
    <w:rsid w:val="00DB749F"/>
    <w:rsid w:val="00DC053A"/>
    <w:rsid w:val="00DC470C"/>
    <w:rsid w:val="00DD2762"/>
    <w:rsid w:val="00DE22B3"/>
    <w:rsid w:val="00DE709D"/>
    <w:rsid w:val="00DF04ED"/>
    <w:rsid w:val="00E05E9B"/>
    <w:rsid w:val="00E12942"/>
    <w:rsid w:val="00E2002B"/>
    <w:rsid w:val="00E220EC"/>
    <w:rsid w:val="00E323D4"/>
    <w:rsid w:val="00E404DF"/>
    <w:rsid w:val="00E52698"/>
    <w:rsid w:val="00E61F13"/>
    <w:rsid w:val="00E672F5"/>
    <w:rsid w:val="00E70B68"/>
    <w:rsid w:val="00E84A82"/>
    <w:rsid w:val="00E866FD"/>
    <w:rsid w:val="00E91AD6"/>
    <w:rsid w:val="00E94373"/>
    <w:rsid w:val="00EA6755"/>
    <w:rsid w:val="00EB44CF"/>
    <w:rsid w:val="00EC7542"/>
    <w:rsid w:val="00F02328"/>
    <w:rsid w:val="00F05C53"/>
    <w:rsid w:val="00F07654"/>
    <w:rsid w:val="00F12223"/>
    <w:rsid w:val="00F147D8"/>
    <w:rsid w:val="00F1582E"/>
    <w:rsid w:val="00F15B09"/>
    <w:rsid w:val="00F23251"/>
    <w:rsid w:val="00F27095"/>
    <w:rsid w:val="00F302EA"/>
    <w:rsid w:val="00F35AC8"/>
    <w:rsid w:val="00F35DED"/>
    <w:rsid w:val="00F36DBF"/>
    <w:rsid w:val="00F4051A"/>
    <w:rsid w:val="00F54C30"/>
    <w:rsid w:val="00F63A93"/>
    <w:rsid w:val="00F71FEF"/>
    <w:rsid w:val="00F9035C"/>
    <w:rsid w:val="00F90727"/>
    <w:rsid w:val="00FA6142"/>
    <w:rsid w:val="00FA6BF1"/>
    <w:rsid w:val="00FB2251"/>
    <w:rsid w:val="00FC0261"/>
    <w:rsid w:val="00FC5FFE"/>
    <w:rsid w:val="00FD0D1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7D490D"/>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160" w:line="480"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042E5"/>
    <w:pPr>
      <w:spacing w:after="0" w:line="240" w:lineRule="auto"/>
    </w:pPr>
    <w:rPr>
      <w:rFonts w:ascii="Times New Roman" w:eastAsiaTheme="minorEastAsia" w:hAnsi="Times New Roman" w:cs="Times New Roman"/>
    </w:rPr>
  </w:style>
  <w:style w:type="paragraph" w:styleId="Heading1">
    <w:name w:val="heading 1"/>
    <w:basedOn w:val="Normal"/>
    <w:link w:val="Heading1Char"/>
    <w:uiPriority w:val="9"/>
    <w:qFormat/>
    <w:rsid w:val="006042E5"/>
    <w:pPr>
      <w:spacing w:before="100" w:beforeAutospacing="1" w:after="100" w:afterAutospacing="1"/>
      <w:outlineLvl w:val="0"/>
    </w:pPr>
    <w:rPr>
      <w:rFonts w:ascii="Times" w:hAnsi="Times" w:cstheme="minorBidi"/>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31DAA"/>
    <w:pPr>
      <w:tabs>
        <w:tab w:val="center" w:pos="4680"/>
        <w:tab w:val="right" w:pos="9360"/>
      </w:tabs>
    </w:pPr>
  </w:style>
  <w:style w:type="character" w:customStyle="1" w:styleId="FooterChar">
    <w:name w:val="Footer Char"/>
    <w:basedOn w:val="DefaultParagraphFont"/>
    <w:link w:val="Footer"/>
    <w:uiPriority w:val="99"/>
    <w:rsid w:val="00831DAA"/>
  </w:style>
  <w:style w:type="character" w:styleId="PageNumber">
    <w:name w:val="page number"/>
    <w:basedOn w:val="DefaultParagraphFont"/>
    <w:uiPriority w:val="99"/>
    <w:semiHidden/>
    <w:unhideWhenUsed/>
    <w:rsid w:val="00831DAA"/>
  </w:style>
  <w:style w:type="paragraph" w:styleId="EndnoteText">
    <w:name w:val="endnote text"/>
    <w:basedOn w:val="Normal"/>
    <w:link w:val="EndnoteTextChar"/>
    <w:unhideWhenUsed/>
    <w:rsid w:val="00CB486A"/>
  </w:style>
  <w:style w:type="character" w:customStyle="1" w:styleId="EndnoteTextChar">
    <w:name w:val="Endnote Text Char"/>
    <w:basedOn w:val="DefaultParagraphFont"/>
    <w:link w:val="EndnoteText"/>
    <w:rsid w:val="00CB486A"/>
  </w:style>
  <w:style w:type="character" w:styleId="EndnoteReference">
    <w:name w:val="endnote reference"/>
    <w:basedOn w:val="DefaultParagraphFont"/>
    <w:unhideWhenUsed/>
    <w:rsid w:val="00CB486A"/>
    <w:rPr>
      <w:vertAlign w:val="superscript"/>
    </w:rPr>
  </w:style>
  <w:style w:type="character" w:customStyle="1" w:styleId="Heading1Char">
    <w:name w:val="Heading 1 Char"/>
    <w:basedOn w:val="DefaultParagraphFont"/>
    <w:link w:val="Heading1"/>
    <w:uiPriority w:val="9"/>
    <w:rsid w:val="006042E5"/>
    <w:rPr>
      <w:rFonts w:ascii="Times" w:eastAsiaTheme="minorEastAsia" w:hAnsi="Times"/>
      <w:b/>
      <w:bCs/>
      <w:kern w:val="36"/>
      <w:sz w:val="48"/>
      <w:szCs w:val="48"/>
    </w:rPr>
  </w:style>
  <w:style w:type="paragraph" w:styleId="ListParagraph">
    <w:name w:val="List Paragraph"/>
    <w:basedOn w:val="Normal"/>
    <w:link w:val="ListParagraphChar"/>
    <w:uiPriority w:val="34"/>
    <w:qFormat/>
    <w:rsid w:val="006042E5"/>
    <w:pPr>
      <w:ind w:left="720"/>
      <w:contextualSpacing/>
    </w:pPr>
    <w:rPr>
      <w:rFonts w:asciiTheme="minorHAnsi" w:hAnsiTheme="minorHAnsi" w:cstheme="minorBidi"/>
    </w:rPr>
  </w:style>
  <w:style w:type="table" w:styleId="TableGrid">
    <w:name w:val="Table Grid"/>
    <w:basedOn w:val="TableNormal"/>
    <w:uiPriority w:val="59"/>
    <w:rsid w:val="006042E5"/>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BFL">
    <w:name w:val="TB_FL"/>
    <w:basedOn w:val="Normal"/>
    <w:rsid w:val="006042E5"/>
    <w:pPr>
      <w:suppressAutoHyphens/>
      <w:spacing w:before="40" w:line="300" w:lineRule="auto"/>
    </w:pPr>
    <w:rPr>
      <w:rFonts w:ascii="TNTEditorial" w:eastAsia="Times New Roman" w:hAnsi="TNTEditorial"/>
      <w:sz w:val="18"/>
      <w:szCs w:val="20"/>
    </w:rPr>
  </w:style>
  <w:style w:type="character" w:customStyle="1" w:styleId="ListParagraphChar">
    <w:name w:val="List Paragraph Char"/>
    <w:basedOn w:val="DefaultParagraphFont"/>
    <w:link w:val="ListParagraph"/>
    <w:uiPriority w:val="34"/>
    <w:rsid w:val="006042E5"/>
    <w:rPr>
      <w:rFonts w:eastAsiaTheme="minorEastAsia"/>
    </w:rPr>
  </w:style>
  <w:style w:type="character" w:customStyle="1" w:styleId="apple-converted-space">
    <w:name w:val="apple-converted-space"/>
    <w:basedOn w:val="DefaultParagraphFont"/>
    <w:rsid w:val="000629DB"/>
  </w:style>
  <w:style w:type="character" w:styleId="Hyperlink">
    <w:name w:val="Hyperlink"/>
    <w:basedOn w:val="DefaultParagraphFont"/>
    <w:uiPriority w:val="99"/>
    <w:unhideWhenUsed/>
    <w:rsid w:val="008D1549"/>
    <w:rPr>
      <w:color w:val="0000FF"/>
      <w:u w:val="single"/>
    </w:rPr>
  </w:style>
  <w:style w:type="character" w:styleId="Emphasis">
    <w:name w:val="Emphasis"/>
    <w:basedOn w:val="DefaultParagraphFont"/>
    <w:uiPriority w:val="20"/>
    <w:qFormat/>
    <w:rsid w:val="00A72B0E"/>
    <w:rPr>
      <w:i/>
      <w:iCs/>
    </w:rPr>
  </w:style>
  <w:style w:type="paragraph" w:styleId="Header">
    <w:name w:val="header"/>
    <w:basedOn w:val="Normal"/>
    <w:link w:val="HeaderChar"/>
    <w:uiPriority w:val="99"/>
    <w:unhideWhenUsed/>
    <w:rsid w:val="00E70B68"/>
    <w:pPr>
      <w:tabs>
        <w:tab w:val="center" w:pos="4680"/>
        <w:tab w:val="right" w:pos="9360"/>
      </w:tabs>
    </w:pPr>
  </w:style>
  <w:style w:type="character" w:customStyle="1" w:styleId="HeaderChar">
    <w:name w:val="Header Char"/>
    <w:basedOn w:val="DefaultParagraphFont"/>
    <w:link w:val="Header"/>
    <w:uiPriority w:val="99"/>
    <w:rsid w:val="00E70B68"/>
    <w:rPr>
      <w:rFonts w:ascii="Times New Roman" w:eastAsiaTheme="minorEastAsia" w:hAnsi="Times New Roman" w:cs="Times New Roman"/>
    </w:rPr>
  </w:style>
  <w:style w:type="paragraph" w:styleId="FootnoteText">
    <w:name w:val="footnote text"/>
    <w:basedOn w:val="Normal"/>
    <w:link w:val="FootnoteTextChar"/>
    <w:semiHidden/>
    <w:rsid w:val="00BA767A"/>
    <w:rPr>
      <w:rFonts w:eastAsia="Times New Roman"/>
      <w:sz w:val="20"/>
      <w:szCs w:val="20"/>
    </w:rPr>
  </w:style>
  <w:style w:type="character" w:customStyle="1" w:styleId="FootnoteTextChar">
    <w:name w:val="Footnote Text Char"/>
    <w:basedOn w:val="DefaultParagraphFont"/>
    <w:link w:val="FootnoteText"/>
    <w:semiHidden/>
    <w:rsid w:val="00BA767A"/>
    <w:rPr>
      <w:rFonts w:ascii="Times New Roman" w:eastAsia="Times New Roman" w:hAnsi="Times New Roman" w:cs="Times New Roman"/>
      <w:sz w:val="20"/>
      <w:szCs w:val="20"/>
    </w:rPr>
  </w:style>
  <w:style w:type="character" w:styleId="FootnoteReference">
    <w:name w:val="footnote reference"/>
    <w:basedOn w:val="DefaultParagraphFont"/>
    <w:semiHidden/>
    <w:rsid w:val="00BA767A"/>
    <w:rPr>
      <w:vertAlign w:val="superscript"/>
    </w:rPr>
  </w:style>
  <w:style w:type="paragraph" w:styleId="DocumentMap">
    <w:name w:val="Document Map"/>
    <w:basedOn w:val="Normal"/>
    <w:link w:val="DocumentMapChar"/>
    <w:uiPriority w:val="99"/>
    <w:semiHidden/>
    <w:unhideWhenUsed/>
    <w:rsid w:val="005D16E9"/>
  </w:style>
  <w:style w:type="character" w:customStyle="1" w:styleId="DocumentMapChar">
    <w:name w:val="Document Map Char"/>
    <w:basedOn w:val="DefaultParagraphFont"/>
    <w:link w:val="DocumentMap"/>
    <w:uiPriority w:val="99"/>
    <w:semiHidden/>
    <w:rsid w:val="005D16E9"/>
    <w:rPr>
      <w:rFonts w:ascii="Times New Roman" w:eastAsiaTheme="minorEastAsia" w:hAnsi="Times New Roman" w:cs="Times New Roman"/>
    </w:rPr>
  </w:style>
  <w:style w:type="paragraph" w:styleId="BalloonText">
    <w:name w:val="Balloon Text"/>
    <w:basedOn w:val="Normal"/>
    <w:link w:val="BalloonTextChar"/>
    <w:uiPriority w:val="99"/>
    <w:semiHidden/>
    <w:unhideWhenUsed/>
    <w:rsid w:val="00F71FE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71FEF"/>
    <w:rPr>
      <w:rFonts w:ascii="Lucida Grande" w:eastAsiaTheme="minorEastAsia"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33996">
      <w:bodyDiv w:val="1"/>
      <w:marLeft w:val="0"/>
      <w:marRight w:val="0"/>
      <w:marTop w:val="0"/>
      <w:marBottom w:val="0"/>
      <w:divBdr>
        <w:top w:val="none" w:sz="0" w:space="0" w:color="auto"/>
        <w:left w:val="none" w:sz="0" w:space="0" w:color="auto"/>
        <w:bottom w:val="none" w:sz="0" w:space="0" w:color="auto"/>
        <w:right w:val="none" w:sz="0" w:space="0" w:color="auto"/>
      </w:divBdr>
    </w:div>
    <w:div w:id="177296685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footer" Target="footer1.xml"/><Relationship Id="rId1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paullight/Library/Group%20Containers/UBF8T346G9.Office/User%20Content.localized/Templates.localized/Paul%20Ligh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741B6D9-B5C6-AA4B-958A-0D823D72C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Paul Light Template.dotx</Template>
  <TotalTime>1</TotalTime>
  <Pages>14</Pages>
  <Words>3430</Words>
  <Characters>19556</Characters>
  <Application>Microsoft Macintosh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New York University'</Company>
  <LinksUpToDate>false</LinksUpToDate>
  <CharactersWithSpaces>22941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Light</dc:creator>
  <cp:keywords/>
  <dc:description/>
  <cp:lastModifiedBy>Paul Light</cp:lastModifiedBy>
  <cp:revision>2</cp:revision>
  <cp:lastPrinted>2017-03-28T18:28:00Z</cp:lastPrinted>
  <dcterms:created xsi:type="dcterms:W3CDTF">2017-04-11T15:04:00Z</dcterms:created>
  <dcterms:modified xsi:type="dcterms:W3CDTF">2017-04-11T15:04:00Z</dcterms:modified>
</cp:coreProperties>
</file>