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drawing>
          <wp:inline distB="0" distT="0" distL="0" distR="0">
            <wp:extent cx="5943600" cy="668655"/>
            <wp:effectExtent b="0" l="0" r="0" t="0"/>
            <wp:docPr descr="NYU Wagner logo" id="1" name="image1.jpg"/>
            <a:graphic>
              <a:graphicData uri="http://schemas.openxmlformats.org/drawingml/2006/picture">
                <pic:pic>
                  <pic:nvPicPr>
                    <pic:cNvPr descr="NYU Wagner logo" id="0" name="image1.jpg"/>
                    <pic:cNvPicPr preferRelativeResize="0"/>
                  </pic:nvPicPr>
                  <pic:blipFill>
                    <a:blip r:embed="rId7"/>
                    <a:srcRect b="0" l="0" r="0" t="0"/>
                    <a:stretch>
                      <a:fillRect/>
                    </a:stretch>
                  </pic:blipFill>
                  <pic:spPr>
                    <a:xfrm>
                      <a:off x="0" y="0"/>
                      <a:ext cx="5943600" cy="6686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jc w:val="center"/>
        <w:rPr>
          <w:b w:val="1"/>
        </w:rPr>
      </w:pPr>
      <w:bookmarkStart w:colFirst="0" w:colLast="0" w:name="_30j0zll" w:id="1"/>
      <w:bookmarkEnd w:id="1"/>
      <w:r w:rsidDel="00000000" w:rsidR="00000000" w:rsidRPr="00000000">
        <w:rPr>
          <w:b w:val="1"/>
          <w:rtl w:val="0"/>
        </w:rPr>
        <w:t xml:space="preserve">PADM-GP 4503.001</w:t>
      </w:r>
    </w:p>
    <w:p w:rsidR="00000000" w:rsidDel="00000000" w:rsidP="00000000" w:rsidRDefault="00000000" w:rsidRPr="00000000" w14:paraId="00000003">
      <w:pPr>
        <w:pageBreakBefore w:val="0"/>
        <w:jc w:val="center"/>
        <w:rPr>
          <w:b w:val="1"/>
          <w:sz w:val="40"/>
          <w:szCs w:val="40"/>
        </w:rPr>
      </w:pPr>
      <w:r w:rsidDel="00000000" w:rsidR="00000000" w:rsidRPr="00000000">
        <w:rPr>
          <w:b w:val="1"/>
          <w:sz w:val="40"/>
          <w:szCs w:val="40"/>
          <w:rtl w:val="0"/>
        </w:rPr>
        <w:t xml:space="preserve">Introduction to Data Analytics for Public Policy, Administration, and Management</w:t>
      </w:r>
    </w:p>
    <w:p w:rsidR="00000000" w:rsidDel="00000000" w:rsidP="00000000" w:rsidRDefault="00000000" w:rsidRPr="00000000" w14:paraId="00000004">
      <w:pPr>
        <w:pageBreakBefore w:val="0"/>
        <w:jc w:val="center"/>
        <w:rPr>
          <w:b w:val="1"/>
          <w:sz w:val="40"/>
          <w:szCs w:val="40"/>
        </w:rPr>
      </w:pPr>
      <w:r w:rsidDel="00000000" w:rsidR="00000000" w:rsidRPr="00000000">
        <w:rPr>
          <w:b w:val="1"/>
          <w:sz w:val="40"/>
          <w:szCs w:val="40"/>
          <w:rtl w:val="0"/>
        </w:rPr>
        <w:t xml:space="preserve">Spring 2022</w:t>
      </w:r>
    </w:p>
    <w:p w:rsidR="00000000" w:rsidDel="00000000" w:rsidP="00000000" w:rsidRDefault="00000000" w:rsidRPr="00000000" w14:paraId="00000005">
      <w:pPr>
        <w:pStyle w:val="Heading2"/>
        <w:keepNext w:val="0"/>
        <w:keepLines w:val="0"/>
        <w:pageBreakBefore w:val="0"/>
        <w:spacing w:after="80" w:lineRule="auto"/>
        <w:rPr>
          <w:b w:val="0"/>
        </w:rPr>
      </w:pPr>
      <w:r w:rsidDel="00000000" w:rsidR="00000000" w:rsidRPr="00000000">
        <w:rPr>
          <w:rtl w:val="0"/>
        </w:rPr>
        <w:t xml:space="preserve">Instructor Information</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Poranee (Pam) Kingpetcharat </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pk1030@nyu.edu</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Hours:  Please email me with your available da</w:t>
      </w:r>
      <w:r w:rsidDel="00000000" w:rsidR="00000000" w:rsidRPr="00000000">
        <w:rPr>
          <w:rtl w:val="0"/>
        </w:rPr>
        <w:t xml:space="preserve">tes &amp; windows of 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quickly coordinate office hours that work best for you.</w:t>
      </w:r>
    </w:p>
    <w:p w:rsidR="00000000" w:rsidDel="00000000" w:rsidP="00000000" w:rsidRDefault="00000000" w:rsidRPr="00000000" w14:paraId="00000009">
      <w:pPr>
        <w:pStyle w:val="Heading2"/>
        <w:pageBreakBefore w:val="0"/>
        <w:rPr/>
      </w:pPr>
      <w:bookmarkStart w:colFirst="0" w:colLast="0" w:name="_1fob9te" w:id="2"/>
      <w:bookmarkEnd w:id="2"/>
      <w:r w:rsidDel="00000000" w:rsidR="00000000" w:rsidRPr="00000000">
        <w:rPr>
          <w:rtl w:val="0"/>
        </w:rPr>
        <w:t xml:space="preserve">Course Information</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Meeting Times:  </w:t>
      </w:r>
      <w:r w:rsidDel="00000000" w:rsidR="00000000" w:rsidRPr="00000000">
        <w:rPr>
          <w:rtl w:val="0"/>
        </w:rPr>
        <w:t xml:space="preserve">Wednesdays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55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6:35 pm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Location: </w:t>
      </w:r>
      <w:r w:rsidDel="00000000" w:rsidR="00000000" w:rsidRPr="00000000">
        <w:rPr>
          <w:rtl w:val="0"/>
        </w:rPr>
        <w:t xml:space="preserve">194 Mercer Street, Room 208</w:t>
      </w:r>
      <w:r w:rsidDel="00000000" w:rsidR="00000000" w:rsidRPr="00000000">
        <w:rPr>
          <w:rtl w:val="0"/>
        </w:rPr>
      </w:r>
    </w:p>
    <w:p w:rsidR="00000000" w:rsidDel="00000000" w:rsidP="00000000" w:rsidRDefault="00000000" w:rsidRPr="00000000" w14:paraId="0000000C">
      <w:pPr>
        <w:pStyle w:val="Heading2"/>
        <w:pageBreakBefore w:val="0"/>
        <w:rPr>
          <w:b w:val="0"/>
        </w:rPr>
      </w:pPr>
      <w:r w:rsidDel="00000000" w:rsidR="00000000" w:rsidRPr="00000000">
        <w:rPr>
          <w:rtl w:val="0"/>
        </w:rPr>
        <w:t xml:space="preserve">Course Prerequisites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00E">
      <w:pPr>
        <w:pStyle w:val="Heading2"/>
        <w:keepNext w:val="0"/>
        <w:keepLines w:val="0"/>
        <w:pageBreakBefore w:val="0"/>
        <w:spacing w:after="80" w:lineRule="auto"/>
        <w:rPr>
          <w:b w:val="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0F">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rPr>
          <w:color w:val="000000"/>
          <w:sz w:val="24"/>
          <w:szCs w:val="24"/>
        </w:rPr>
      </w:pPr>
      <w:r w:rsidDel="00000000" w:rsidR="00000000" w:rsidRPr="00000000">
        <w:rPr>
          <w:rtl w:val="0"/>
        </w:rPr>
        <w:t xml:space="preserve">The goal of this course is to establish a first-principles understanding of qualitative and quantitative techniques, tools, and processes used to wield data for effective decision-making.  Its approach focuses on pragmatic, interactive learning using logical methods, basic tools, and publicly available data to practice extracting insights and building recommendations.  It is designed for students with little prior statistical or mathematical training and no prior pre-exposure to statistical software.</w:t>
      </w:r>
      <w:r w:rsidDel="00000000" w:rsidR="00000000" w:rsidRPr="00000000">
        <w:rPr>
          <w:rtl w:val="0"/>
        </w:rPr>
      </w:r>
    </w:p>
    <w:p w:rsidR="00000000" w:rsidDel="00000000" w:rsidP="00000000" w:rsidRDefault="00000000" w:rsidRPr="00000000" w14:paraId="00000010">
      <w:pPr>
        <w:pStyle w:val="Heading2"/>
        <w:keepNext w:val="0"/>
        <w:keepLines w:val="0"/>
        <w:pageBreakBefore w:val="0"/>
        <w:spacing w:after="80" w:lineRule="auto"/>
        <w:rPr/>
      </w:pPr>
      <w:bookmarkStart w:colFirst="0" w:colLast="0" w:name="_3znysh7" w:id="3"/>
      <w:bookmarkEnd w:id="3"/>
      <w:r w:rsidDel="00000000" w:rsidR="00000000" w:rsidRPr="00000000">
        <w:rPr>
          <w:rtl w:val="0"/>
        </w:rPr>
        <w:t xml:space="preserve">Course and Learning Objectives</w:t>
      </w:r>
    </w:p>
    <w:p w:rsidR="00000000" w:rsidDel="00000000" w:rsidP="00000000" w:rsidRDefault="00000000" w:rsidRPr="00000000" w14:paraId="00000011">
      <w:pPr>
        <w:pageBreakBefore w:val="0"/>
        <w:rPr/>
      </w:pPr>
      <w:r w:rsidDel="00000000" w:rsidR="00000000" w:rsidRPr="00000000">
        <w:rPr>
          <w:rtl w:val="0"/>
        </w:rPr>
        <w:t xml:space="preserve">Students will be able to:</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value of data, assess data arguments, identify alternatives to using data, and leverage administrative data to ground-truth research data.</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Structure problems, develop hypotheses, identify assumptions, and reference sources and considerations in a rigorous and transparent manner.</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obtain, understand, prepare, and analyze data using standard approaches and industry-standard tools.</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Package and persuade with data visualization techniques and tools [PowerPoint, Excel, Tableau] to reach specific objectives.</w:t>
      </w:r>
    </w:p>
    <w:p w:rsidR="00000000" w:rsidDel="00000000" w:rsidP="00000000" w:rsidRDefault="00000000" w:rsidRPr="00000000" w14:paraId="00000016">
      <w:pPr>
        <w:pStyle w:val="Heading2"/>
        <w:pageBreakBefore w:val="0"/>
        <w:rPr/>
      </w:pPr>
      <w:r w:rsidDel="00000000" w:rsidR="00000000" w:rsidRPr="00000000">
        <w:rPr>
          <w:rtl w:val="0"/>
        </w:rPr>
        <w:t xml:space="preserve">How this Course Relates to Other Courses</w:t>
      </w:r>
    </w:p>
    <w:p w:rsidR="00000000" w:rsidDel="00000000" w:rsidP="00000000" w:rsidRDefault="00000000" w:rsidRPr="00000000" w14:paraId="00000017">
      <w:pPr>
        <w:pageBreakBefore w:val="0"/>
        <w:rPr/>
      </w:pPr>
      <w:r w:rsidDel="00000000" w:rsidR="00000000" w:rsidRPr="00000000">
        <w:rPr>
          <w:rtl w:val="0"/>
        </w:rPr>
        <w:t xml:space="preserve">This is a foundational course.  There are no prerequisites.  It is designed to introduce students to first principles</w:t>
      </w:r>
      <w:r w:rsidDel="00000000" w:rsidR="00000000" w:rsidRPr="00000000">
        <w:rPr>
          <w:vertAlign w:val="superscript"/>
        </w:rPr>
        <w:footnoteReference w:customMarkFollows="0" w:id="0"/>
      </w:r>
      <w:r w:rsidDel="00000000" w:rsidR="00000000" w:rsidRPr="00000000">
        <w:rPr>
          <w:rtl w:val="0"/>
        </w:rPr>
        <w:t xml:space="preserve"> approaches to data analytics to build their comfort navigating ambiguity, leveraging quantitative skills, and using industry-standard data tools and technologies.</w:t>
      </w:r>
    </w:p>
    <w:p w:rsidR="00000000" w:rsidDel="00000000" w:rsidP="00000000" w:rsidRDefault="00000000" w:rsidRPr="00000000" w14:paraId="00000018">
      <w:pPr>
        <w:pStyle w:val="Heading2"/>
        <w:pageBreakBefore w:val="0"/>
        <w:rPr/>
      </w:pPr>
      <w:r w:rsidDel="00000000" w:rsidR="00000000" w:rsidRPr="00000000">
        <w:rPr>
          <w:rtl w:val="0"/>
        </w:rPr>
        <w:t xml:space="preserve">Evaluation</w:t>
      </w:r>
    </w:p>
    <w:p w:rsidR="00000000" w:rsidDel="00000000" w:rsidP="00000000" w:rsidRDefault="00000000" w:rsidRPr="00000000" w14:paraId="00000019">
      <w:pPr>
        <w:pageBreakBefore w:val="0"/>
        <w:rPr/>
      </w:pPr>
      <w:r w:rsidDel="00000000" w:rsidR="00000000" w:rsidRPr="00000000">
        <w:rPr>
          <w:rtl w:val="0"/>
        </w:rPr>
        <w:t xml:space="preserve">The course will be evaluated through class participation [as measured by short quizzes and exit surveys] (25%), two problem sets (25%), and one final project (50%).  Problem sets will make use of Excel and PowerPoint so students should make sure they are familiar with how to access these applications.</w:t>
      </w:r>
    </w:p>
    <w:p w:rsidR="00000000" w:rsidDel="00000000" w:rsidP="00000000" w:rsidRDefault="00000000" w:rsidRPr="00000000" w14:paraId="0000001A">
      <w:pPr>
        <w:pStyle w:val="Heading2"/>
        <w:pageBreakBefore w:val="0"/>
        <w:rPr/>
      </w:pPr>
      <w:r w:rsidDel="00000000" w:rsidR="00000000" w:rsidRPr="00000000">
        <w:rPr>
          <w:rtl w:val="0"/>
        </w:rPr>
        <w:t xml:space="preserve">Late Policy</w:t>
      </w:r>
    </w:p>
    <w:p w:rsidR="00000000" w:rsidDel="00000000" w:rsidP="00000000" w:rsidRDefault="00000000" w:rsidRPr="00000000" w14:paraId="0000001B">
      <w:pPr>
        <w:pageBreakBefore w:val="0"/>
        <w:rPr/>
      </w:pPr>
      <w:r w:rsidDel="00000000" w:rsidR="00000000" w:rsidRPr="00000000">
        <w:rPr>
          <w:rtl w:val="0"/>
        </w:rPr>
        <w:t xml:space="preserve">Assignments are due on the class dates indicated on the course’s NYU Brightspace site.  Late submission of assignments will lead to a two-point reduction for missing the deadline, and another two-point reduction for each day thereafter until submitted.</w:t>
      </w:r>
    </w:p>
    <w:p w:rsidR="00000000" w:rsidDel="00000000" w:rsidP="00000000" w:rsidRDefault="00000000" w:rsidRPr="00000000" w14:paraId="0000001C">
      <w:pPr>
        <w:pStyle w:val="Heading2"/>
        <w:pageBreakBefore w:val="0"/>
        <w:rPr/>
      </w:pPr>
      <w:r w:rsidDel="00000000" w:rsidR="00000000" w:rsidRPr="00000000">
        <w:rPr>
          <w:rtl w:val="0"/>
        </w:rPr>
        <w:t xml:space="preserve">Course Structure</w:t>
      </w:r>
    </w:p>
    <w:p w:rsidR="00000000" w:rsidDel="00000000" w:rsidP="00000000" w:rsidRDefault="00000000" w:rsidRPr="00000000" w14:paraId="0000001D">
      <w:pPr>
        <w:pageBreakBefore w:val="0"/>
        <w:rPr/>
      </w:pPr>
      <w:r w:rsidDel="00000000" w:rsidR="00000000" w:rsidRPr="00000000">
        <w:rPr>
          <w:rtl w:val="0"/>
        </w:rPr>
        <w:t xml:space="preserve">The class includes lectures, readings, break-out session group work, and independent project work.  Class attendance is critical as the course is structured as an experiential learning course.  Students are strongly encouraged to apply approaches and tools learned in the course to their specific sector interests to deepen their own content knowledge as well as an understanding of the forces that shape trends in that sector.</w:t>
      </w:r>
    </w:p>
    <w:p w:rsidR="00000000" w:rsidDel="00000000" w:rsidP="00000000" w:rsidRDefault="00000000" w:rsidRPr="00000000" w14:paraId="0000001E">
      <w:pPr>
        <w:pStyle w:val="Heading2"/>
        <w:pageBreakBefore w:val="0"/>
        <w:rPr/>
      </w:pPr>
      <w:r w:rsidDel="00000000" w:rsidR="00000000" w:rsidRPr="00000000">
        <w:rPr>
          <w:rtl w:val="0"/>
        </w:rPr>
        <w:t xml:space="preserve">Expectations</w:t>
      </w:r>
    </w:p>
    <w:p w:rsidR="00000000" w:rsidDel="00000000" w:rsidP="00000000" w:rsidRDefault="00000000" w:rsidRPr="00000000" w14:paraId="0000001F">
      <w:pPr>
        <w:pStyle w:val="Heading3"/>
        <w:pageBreakBefore w:val="0"/>
        <w:rPr/>
      </w:pPr>
      <w:r w:rsidDel="00000000" w:rsidR="00000000" w:rsidRPr="00000000">
        <w:rPr>
          <w:rtl w:val="0"/>
        </w:rPr>
        <w:t xml:space="preserve">Class participation</w:t>
      </w:r>
    </w:p>
    <w:p w:rsidR="00000000" w:rsidDel="00000000" w:rsidP="00000000" w:rsidRDefault="00000000" w:rsidRPr="00000000" w14:paraId="00000020">
      <w:pPr>
        <w:pageBreakBefore w:val="0"/>
        <w:rPr/>
      </w:pPr>
      <w:r w:rsidDel="00000000" w:rsidR="00000000" w:rsidRPr="00000000">
        <w:rPr>
          <w:rtl w:val="0"/>
        </w:rPr>
        <w:t xml:space="preserve">The course is designed as an experiential learning course and so class participation, group work [via breakout groups], and responsiveness to electronic surveys distributed is crucial.</w:t>
      </w:r>
    </w:p>
    <w:p w:rsidR="00000000" w:rsidDel="00000000" w:rsidP="00000000" w:rsidRDefault="00000000" w:rsidRPr="00000000" w14:paraId="00000021">
      <w:pPr>
        <w:pStyle w:val="Heading3"/>
        <w:pageBreakBefore w:val="0"/>
        <w:rPr/>
      </w:pPr>
      <w:r w:rsidDel="00000000" w:rsidR="00000000" w:rsidRPr="00000000">
        <w:rPr>
          <w:rtl w:val="0"/>
        </w:rPr>
        <w:t xml:space="preserve">Absenteeism, punctuality, and in-class conduct</w:t>
      </w:r>
    </w:p>
    <w:p w:rsidR="00000000" w:rsidDel="00000000" w:rsidP="00000000" w:rsidRDefault="00000000" w:rsidRPr="00000000" w14:paraId="00000022">
      <w:pPr>
        <w:pageBreakBefore w:val="0"/>
        <w:rPr/>
      </w:pPr>
      <w:r w:rsidDel="00000000" w:rsidR="00000000" w:rsidRPr="00000000">
        <w:rPr>
          <w:rtl w:val="0"/>
        </w:rPr>
        <w:t xml:space="preserve">Students are expected to attend all classes and arrive on time.  Systematic tardiness, disruptive behavior will negatively impact your grade.  Please contact me via e-mail if you need to miss a class due to unavoidable circumstances.</w:t>
      </w:r>
    </w:p>
    <w:p w:rsidR="00000000" w:rsidDel="00000000" w:rsidP="00000000" w:rsidRDefault="00000000" w:rsidRPr="00000000" w14:paraId="00000023">
      <w:pPr>
        <w:pStyle w:val="Heading2"/>
        <w:pageBreakBefore w:val="0"/>
        <w:rPr/>
      </w:pPr>
      <w:r w:rsidDel="00000000" w:rsidR="00000000" w:rsidRPr="00000000">
        <w:rPr>
          <w:rtl w:val="0"/>
        </w:rPr>
        <w:t xml:space="preserve">Class Overview</w:t>
      </w:r>
    </w:p>
    <w:p w:rsidR="00000000" w:rsidDel="00000000" w:rsidP="00000000" w:rsidRDefault="00000000" w:rsidRPr="00000000" w14:paraId="00000024">
      <w:pPr>
        <w:pageBreakBefore w:val="0"/>
        <w:rPr/>
      </w:pPr>
      <w:r w:rsidDel="00000000" w:rsidR="00000000" w:rsidRPr="00000000">
        <w:rPr>
          <w:rtl w:val="0"/>
        </w:rPr>
        <w:t xml:space="preserve">This is an NYU half-course conducted over 7 weeks in 100-minute sessions per week.</w:t>
      </w:r>
    </w:p>
    <w:p w:rsidR="00000000" w:rsidDel="00000000" w:rsidP="00000000" w:rsidRDefault="00000000" w:rsidRPr="00000000" w14:paraId="00000025">
      <w:pPr>
        <w:pStyle w:val="Heading3"/>
        <w:pageBreakBefore w:val="0"/>
        <w:rPr/>
      </w:pPr>
      <w:r w:rsidDel="00000000" w:rsidR="00000000" w:rsidRPr="00000000">
        <w:rPr>
          <w:rtl w:val="0"/>
        </w:rPr>
        <w:t xml:space="preserve">Week 1 [January 26, 2022] – IN-PERSON CLASS:  The value of data and importance of problem structuring.</w:t>
      </w:r>
    </w:p>
    <w:p w:rsidR="00000000" w:rsidDel="00000000" w:rsidP="00000000" w:rsidRDefault="00000000" w:rsidRPr="00000000" w14:paraId="00000026">
      <w:pPr>
        <w:pStyle w:val="Heading4"/>
        <w:pageBreakBefore w:val="0"/>
        <w:rPr/>
      </w:pPr>
      <w:r w:rsidDel="00000000" w:rsidR="00000000" w:rsidRPr="00000000">
        <w:rPr>
          <w:rtl w:val="0"/>
        </w:rPr>
        <w:t xml:space="preserve">Topics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value of data and how it can lead to informed decisions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steps and goals of the analytics workflow, discuss problem structuring, and its importance</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basic criteria to judge the quality of data-related questions</w:t>
      </w:r>
    </w:p>
    <w:p w:rsidR="00000000" w:rsidDel="00000000" w:rsidP="00000000" w:rsidRDefault="00000000" w:rsidRPr="00000000" w14:paraId="0000002A">
      <w:pPr>
        <w:pageBreakBefore w:val="0"/>
        <w:numPr>
          <w:ilvl w:val="0"/>
          <w:numId w:val="4"/>
        </w:numPr>
        <w:ind w:left="720" w:hanging="360"/>
        <w:rPr>
          <w:rFonts w:ascii="Arial" w:cs="Arial" w:eastAsia="Arial" w:hAnsi="Arial"/>
        </w:rPr>
      </w:pPr>
      <w:r w:rsidDel="00000000" w:rsidR="00000000" w:rsidRPr="00000000">
        <w:rPr>
          <w:rtl w:val="0"/>
        </w:rPr>
        <w:t xml:space="preserve">Explore Excel both as software (basic layout, navigation, keyboard shortcuts, worksheet organization) and as a data analysis platform (basic math/stat formulas, visualization)</w:t>
      </w:r>
    </w:p>
    <w:p w:rsidR="00000000" w:rsidDel="00000000" w:rsidP="00000000" w:rsidRDefault="00000000" w:rsidRPr="00000000" w14:paraId="0000002B">
      <w:pPr>
        <w:pageBreakBefore w:val="0"/>
        <w:numPr>
          <w:ilvl w:val="0"/>
          <w:numId w:val="4"/>
        </w:numPr>
        <w:ind w:left="720" w:hanging="360"/>
        <w:rPr>
          <w:rFonts w:ascii="Arial" w:cs="Arial" w:eastAsia="Arial" w:hAnsi="Arial"/>
        </w:rPr>
      </w:pPr>
      <w:r w:rsidDel="00000000" w:rsidR="00000000" w:rsidRPr="00000000">
        <w:rPr>
          <w:rtl w:val="0"/>
        </w:rPr>
        <w:t xml:space="preserve">Practice basic summary tactics used to familiarize yourself with a dataset</w:t>
      </w:r>
    </w:p>
    <w:p w:rsidR="00000000" w:rsidDel="00000000" w:rsidP="00000000" w:rsidRDefault="00000000" w:rsidRPr="00000000" w14:paraId="0000002C">
      <w:pPr>
        <w:pStyle w:val="Heading4"/>
        <w:pageBreakBefore w:val="0"/>
        <w:rPr/>
      </w:pPr>
      <w:r w:rsidDel="00000000" w:rsidR="00000000" w:rsidRPr="00000000">
        <w:rPr>
          <w:rtl w:val="0"/>
        </w:rPr>
        <w:t xml:space="preserve">Readings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Great Data Analysts Do - and Why Every Organization Needs Them,” by Cassie Kozyrkov, Harvard Business Review, December 4, 2018.</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Redman, Thomas (2013), “Are you Data-Driven?”,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HBR Guide to Data Analytics Basics for Managers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MA:  Harvard Business Review Press, pgs. 9 – 13, 15 – 26.</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Rasiel, Ethan (1999),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McKinsey Way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McGraw-Hill Education, pgs 3 - 28.</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Why data culture matters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Alejandro Diaz, Kayvaun Rowshankish, and Tamim Saleh,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McKinsey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2018.</w:t>
      </w:r>
    </w:p>
    <w:p w:rsidR="00000000" w:rsidDel="00000000" w:rsidP="00000000" w:rsidRDefault="00000000" w:rsidRPr="00000000" w14:paraId="00000031">
      <w:pPr>
        <w:pStyle w:val="Heading5"/>
        <w:pageBreakBefore w:val="0"/>
        <w:rPr/>
      </w:pPr>
      <w:r w:rsidDel="00000000" w:rsidR="00000000" w:rsidRPr="00000000">
        <w:rPr>
          <w:rtl w:val="0"/>
        </w:rPr>
        <w:t xml:space="preserve">[Optional] Reference Readings: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“CIO Explainer: What is Artificial Intelligence?,” by Steven Norton, The Wall Street Journal, July 18, 2016.</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Changing Behaviour to Improve People’s Lives:  A Practical Guide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Piyush Tantia Jason Bade Paul Brest Maeve Richards, Ideas42.org.</w:t>
      </w:r>
    </w:p>
    <w:p w:rsidR="00000000" w:rsidDel="00000000" w:rsidP="00000000" w:rsidRDefault="00000000" w:rsidRPr="00000000" w14:paraId="00000034">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“Addressing Homelessness with Data Analytics,” by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Mahesh Kelkar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Rachel Frey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Nagen Suriya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Shane Engel, Deloitte Insights, September 25, 2019.</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Data to Provide Better Healthcare to New York’s Homeless,” by Laura Jacobson, Remi Newton-Dame, Kalpana Bhandarkar and Dave A. Chokshi, Harvard Business Review, May 21, 2019.</w:t>
      </w:r>
    </w:p>
    <w:p w:rsidR="00000000" w:rsidDel="00000000" w:rsidP="00000000" w:rsidRDefault="00000000" w:rsidRPr="00000000" w14:paraId="00000037">
      <w:pPr>
        <w:pStyle w:val="Heading3"/>
        <w:pageBreakBefore w:val="0"/>
        <w:rPr/>
      </w:pPr>
      <w:r w:rsidDel="00000000" w:rsidR="00000000" w:rsidRPr="00000000">
        <w:rPr>
          <w:rtl w:val="0"/>
        </w:rPr>
        <w:t xml:space="preserve">Week 2 [February 2, 2022] – IN-PERSON CLASS:  Formulate, clean, and manipulate data in Excel.</w:t>
      </w:r>
    </w:p>
    <w:p w:rsidR="00000000" w:rsidDel="00000000" w:rsidP="00000000" w:rsidRDefault="00000000" w:rsidRPr="00000000" w14:paraId="00000038">
      <w:pPr>
        <w:pStyle w:val="Heading4"/>
        <w:pageBreakBefore w:val="0"/>
        <w:rPr/>
      </w:pPr>
      <w:r w:rsidDel="00000000" w:rsidR="00000000" w:rsidRPr="00000000">
        <w:rPr>
          <w:rtl w:val="0"/>
        </w:rPr>
        <w:t xml:space="preserve">Topics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to data cleaning</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relationship between functions and parameters</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nested functions</w:t>
      </w:r>
    </w:p>
    <w:p w:rsidR="00000000" w:rsidDel="00000000" w:rsidP="00000000" w:rsidRDefault="00000000" w:rsidRPr="00000000" w14:paraId="0000003C">
      <w:pPr>
        <w:pStyle w:val="Heading4"/>
        <w:pageBreakBefore w:val="0"/>
        <w:rPr/>
      </w:pPr>
      <w:r w:rsidDel="00000000" w:rsidR="00000000" w:rsidRPr="00000000">
        <w:rPr>
          <w:rtl w:val="0"/>
        </w:rPr>
        <w:t xml:space="preserve">Readings</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Redman, Thomas (2013), “Are you Data-Driven?”,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HBR Guide to Data Analytics Basics for Managers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MA:  Harvard Business Review Press, pgs. 63 - 69.</w:t>
      </w:r>
    </w:p>
    <w:p w:rsidR="00000000" w:rsidDel="00000000" w:rsidP="00000000" w:rsidRDefault="00000000" w:rsidRPr="00000000" w14:paraId="0000003E">
      <w:pPr>
        <w:pStyle w:val="Heading5"/>
        <w:pageBreakBefore w:val="0"/>
        <w:rPr/>
      </w:pPr>
      <w:r w:rsidDel="00000000" w:rsidR="00000000" w:rsidRPr="00000000">
        <w:rPr>
          <w:rtl w:val="0"/>
        </w:rPr>
        <w:t xml:space="preserve">[Optional] </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Achieving business impact with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Niko Mohr, Holder Hurtgen, Digital McKinsey, April 2018.</w:t>
      </w:r>
    </w:p>
    <w:p w:rsidR="00000000" w:rsidDel="00000000" w:rsidP="00000000" w:rsidRDefault="00000000" w:rsidRPr="00000000" w14:paraId="00000040">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Huge Racial Disparities Found in Deaths Linked to Pregnancy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Roni Caryn Rabin, New York Times, May 7, 2019.</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Vital Signs: Pregnancy-Related Deaths, United States, 2011–2015, and Strategies for Prevention, 13 States, 2013–2017</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Emily E. Petersen, MD; Nicole L. Davis, PhD; David Goodman, PhD; Shanna Cox, MSPH; Nikki Mayes; Emily Johnston, MPH; Carla Syverson, MSN; Kristi Seed; Carrie K. Shapiro-Mendoza, PhD; William M. Callaghan, MD; Wanda Barfield, MD, Morbidity and Mortality Weekly Report, May 10, 2019.</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Pregnancy Mortality Surveillance System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CDC. </w:t>
      </w:r>
    </w:p>
    <w:p w:rsidR="00000000" w:rsidDel="00000000" w:rsidP="00000000" w:rsidRDefault="00000000" w:rsidRPr="00000000" w14:paraId="00000044">
      <w:pPr>
        <w:pStyle w:val="Heading3"/>
        <w:pageBreakBefore w:val="0"/>
        <w:rPr/>
      </w:pPr>
      <w:r w:rsidDel="00000000" w:rsidR="00000000" w:rsidRPr="00000000">
        <w:rPr>
          <w:rtl w:val="0"/>
        </w:rPr>
        <w:t xml:space="preserve">Week 3 [February 9, 2022] – IN-PERSON CLASS:  Dynamic data referencing and dashboard creation. </w:t>
      </w:r>
    </w:p>
    <w:p w:rsidR="00000000" w:rsidDel="00000000" w:rsidP="00000000" w:rsidRDefault="00000000" w:rsidRPr="00000000" w14:paraId="00000045">
      <w:pPr>
        <w:pStyle w:val="Heading4"/>
        <w:pageBreakBefore w:val="0"/>
        <w:rPr/>
      </w:pPr>
      <w:r w:rsidDel="00000000" w:rsidR="00000000" w:rsidRPr="00000000">
        <w:rPr>
          <w:rtl w:val="0"/>
        </w:rPr>
        <w:t xml:space="preserve">Topics </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how to look up data in other tables using VLOOKUP and HLOOKUP</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data functions [INDEX and MATCH] to lookup values in other tables</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these Excel functions to create a simple dashboard in Excel</w:t>
      </w:r>
    </w:p>
    <w:p w:rsidR="00000000" w:rsidDel="00000000" w:rsidP="00000000" w:rsidRDefault="00000000" w:rsidRPr="00000000" w14:paraId="00000049">
      <w:pPr>
        <w:pStyle w:val="Heading4"/>
        <w:pageBreakBefore w:val="0"/>
        <w:rPr/>
      </w:pPr>
      <w:r w:rsidDel="00000000" w:rsidR="00000000" w:rsidRPr="00000000">
        <w:rPr>
          <w:rtl w:val="0"/>
        </w:rPr>
        <w:t xml:space="preserve">Readings</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Davenport, Thomas H., “Competing on Analytics”,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January 2006.</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Have to Be a Data Scientist to Fill This Must-Have Analytics Role,” by Nicolaus Henke, Jordan Levine, and Paul McInerney,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February 8, 2018.</w:t>
      </w:r>
    </w:p>
    <w:p w:rsidR="00000000" w:rsidDel="00000000" w:rsidP="00000000" w:rsidRDefault="00000000" w:rsidRPr="00000000" w14:paraId="0000004C">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 on the Evolution of the UN Support Account for Peacekeeping Operations</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New York’s Economic Spending Shortchanges Nonwhite Communities, Report Says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Vivian Wang, New York Times, August 1, 2018.</w:t>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“Shortchanged:  Racial Disparities in New York’s Economic Development Programs,” Fiscal Policy Institute, 2018. </w:t>
      </w:r>
    </w:p>
    <w:p w:rsidR="00000000" w:rsidDel="00000000" w:rsidP="00000000" w:rsidRDefault="00000000" w:rsidRPr="00000000" w14:paraId="00000050">
      <w:pPr>
        <w:pStyle w:val="Heading3"/>
        <w:pageBreakBefore w:val="0"/>
        <w:rPr/>
      </w:pPr>
      <w:r w:rsidDel="00000000" w:rsidR="00000000" w:rsidRPr="00000000">
        <w:rPr>
          <w:rtl w:val="0"/>
        </w:rPr>
        <w:t xml:space="preserve">Week 4 [February 16, 2022] – IN-PERSON CLASS:  Dynamic data aggregation.</w:t>
      </w:r>
    </w:p>
    <w:p w:rsidR="00000000" w:rsidDel="00000000" w:rsidP="00000000" w:rsidRDefault="00000000" w:rsidRPr="00000000" w14:paraId="00000051">
      <w:pPr>
        <w:pStyle w:val="Heading4"/>
        <w:pageBreakBefore w:val="0"/>
        <w:rPr/>
      </w:pPr>
      <w:r w:rsidDel="00000000" w:rsidR="00000000" w:rsidRPr="00000000">
        <w:rPr>
          <w:rtl w:val="0"/>
        </w:rPr>
        <w:t xml:space="preserve">Topics</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about data aggregation using Pivot Tables</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excel aggregation commands to summarize data sets</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to use histograms, scatterplots, and trend analysis to analyze data</w:t>
      </w:r>
    </w:p>
    <w:p w:rsidR="00000000" w:rsidDel="00000000" w:rsidP="00000000" w:rsidRDefault="00000000" w:rsidRPr="00000000" w14:paraId="00000055">
      <w:pPr>
        <w:pStyle w:val="Heading4"/>
        <w:pageBreakBefore w:val="0"/>
        <w:rPr/>
      </w:pPr>
      <w:r w:rsidDel="00000000" w:rsidR="00000000" w:rsidRPr="00000000">
        <w:rPr>
          <w:rtl w:val="0"/>
        </w:rPr>
        <w:t xml:space="preserve">Readings</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Heath, Chip, Heath, Dan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Switch:  How to Change Things When Change is Hard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Crown Business, pgs 1 - 23.</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Data for Social Innovation,” by Kevin C. Desouza &amp; Kendra L. Smith, Stanford Social Innovation Review, Summer 2014.</w:t>
      </w:r>
    </w:p>
    <w:p w:rsidR="00000000" w:rsidDel="00000000" w:rsidP="00000000" w:rsidRDefault="00000000" w:rsidRPr="00000000" w14:paraId="00000058">
      <w:pPr>
        <w:pStyle w:val="Heading5"/>
        <w:pageBreakBefore w:val="0"/>
        <w:rPr/>
      </w:pPr>
      <w:r w:rsidDel="00000000" w:rsidR="00000000" w:rsidRPr="00000000">
        <w:rPr>
          <w:rtl w:val="0"/>
        </w:rPr>
        <w:t xml:space="preserve">[Optional]  </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Overview of Data Management,” The American Institute of Certified Public Accountants (AICPA), Information Management and Technology Assurance Section.</w:t>
      </w:r>
    </w:p>
    <w:p w:rsidR="00000000" w:rsidDel="00000000" w:rsidP="00000000" w:rsidRDefault="00000000" w:rsidRPr="00000000" w14:paraId="0000005A">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Compstat to Gov 2.0 Big Data in New York City Management - either PDF (available on </w:t>
      </w:r>
      <w:r w:rsidDel="00000000" w:rsidR="00000000" w:rsidRPr="00000000">
        <w:rPr>
          <w:rtl w:val="0"/>
        </w:rPr>
        <w:t xml:space="preserve">Brightspace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Resources folder) or </w:t>
      </w: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online format</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COMPSTAT:  Its Origins, Evolution, and Future in Law Enforcement Agencies, Bureau of Justice Assistance (BJA), US Department of Justice, Police Executive Research Forum, 2013.</w:t>
      </w:r>
    </w:p>
    <w:p w:rsidR="00000000" w:rsidDel="00000000" w:rsidP="00000000" w:rsidRDefault="00000000" w:rsidRPr="00000000" w14:paraId="0000005D">
      <w:pPr>
        <w:pStyle w:val="Heading3"/>
        <w:pageBreakBefore w:val="0"/>
        <w:rPr/>
      </w:pPr>
      <w:r w:rsidDel="00000000" w:rsidR="00000000" w:rsidRPr="00000000">
        <w:rPr>
          <w:rtl w:val="0"/>
        </w:rPr>
        <w:t xml:space="preserve">Week 5 [February 23, 2022] – REMOTE CLASS:  Presentation, storytelling, data visualization, and color theory. </w:t>
      </w:r>
    </w:p>
    <w:p w:rsidR="00000000" w:rsidDel="00000000" w:rsidP="00000000" w:rsidRDefault="00000000" w:rsidRPr="00000000" w14:paraId="0000005E">
      <w:pPr>
        <w:pStyle w:val="Heading4"/>
        <w:pageBreakBefore w:val="0"/>
        <w:rPr/>
      </w:pPr>
      <w:r w:rsidDel="00000000" w:rsidR="00000000" w:rsidRPr="00000000">
        <w:rPr>
          <w:rtl w:val="0"/>
        </w:rPr>
        <w:t xml:space="preserve">Topics </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Translate problem structuring into storytelling for persuasion</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 how to pick the right chart types for effective data visualization</w:t>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color theory to ensure effective data visualization</w:t>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Tableau</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Style w:val="Heading4"/>
        <w:pageBreakBefore w:val="0"/>
        <w:rPr/>
      </w:pPr>
      <w:r w:rsidDel="00000000" w:rsidR="00000000" w:rsidRPr="00000000">
        <w:rPr>
          <w:rtl w:val="0"/>
        </w:rPr>
        <w:t xml:space="preserve">Readings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Berinato, Scott, “Visualizations That Really Work,”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2016.</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Anderson, Chris, “How to Give a Killer Presentation, Lessons from TED,”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Harvard Business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2013.</w:t>
      </w:r>
    </w:p>
    <w:p w:rsidR="00000000" w:rsidDel="00000000" w:rsidP="00000000" w:rsidRDefault="00000000" w:rsidRPr="00000000" w14:paraId="00000067">
      <w:pPr>
        <w:pStyle w:val="Heading5"/>
        <w:pageBreakBefore w:val="0"/>
        <w:rPr/>
      </w:pPr>
      <w:r w:rsidDel="00000000" w:rsidR="00000000" w:rsidRPr="00000000">
        <w:rPr>
          <w:rtl w:val="0"/>
        </w:rPr>
        <w:t xml:space="preserve">[Optional] Reference Readings: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Roam, Dan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Back of the Napkin: Solving Problems and Selling Ideas with Pictures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Penguin Group (USA) LLC, pgs 301 – 711.</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Tufte, Edward R. (1990),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Envisioning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Graphics Press.</w:t>
      </w:r>
    </w:p>
    <w:p w:rsidR="00000000" w:rsidDel="00000000" w:rsidP="00000000" w:rsidRDefault="00000000" w:rsidRPr="00000000" w14:paraId="0000006A">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How healthy is your neighborhood for your child? Take a look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Sandee LaMotte, CNN, January 22, 2020</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Opportunity Gap data visualizations:  </w:t>
      </w: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http://www.diversitydatakids.org/research-library/data-visualization/child-opportunity-gap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snapshot of child opportunity across the U.S.:  </w:t>
      </w: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http://www.diversitydatakids.org/research-library/data-visualization/snapshot-child-opportunity-across-us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Equity Assessments:  </w:t>
      </w: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http://www.diversitydatakids.org/policy-equity-assessments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pStyle w:val="Heading3"/>
        <w:pageBreakBefore w:val="0"/>
        <w:rPr/>
      </w:pPr>
      <w:bookmarkStart w:colFirst="0" w:colLast="0" w:name="_tyjcwt" w:id="4"/>
      <w:bookmarkEnd w:id="4"/>
      <w:r w:rsidDel="00000000" w:rsidR="00000000" w:rsidRPr="00000000">
        <w:rPr>
          <w:rtl w:val="0"/>
        </w:rPr>
        <w:t xml:space="preserve">Week 6 [March 2, 2022] – IN-PERSON CLASS:  Using Tableau for creating charts, dashboards, and stories.</w:t>
      </w:r>
    </w:p>
    <w:p w:rsidR="00000000" w:rsidDel="00000000" w:rsidP="00000000" w:rsidRDefault="00000000" w:rsidRPr="00000000" w14:paraId="00000070">
      <w:pPr>
        <w:pStyle w:val="Heading4"/>
        <w:pageBreakBefore w:val="0"/>
        <w:rPr/>
      </w:pPr>
      <w:r w:rsidDel="00000000" w:rsidR="00000000" w:rsidRPr="00000000">
        <w:rPr>
          <w:rtl w:val="0"/>
        </w:rPr>
        <w:t xml:space="preserve">Topics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variety of charts in Tableau</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dashboard in Tableau with a variety of chart types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Stories and explore Tableau’s power for narrative presentation</w:t>
      </w:r>
    </w:p>
    <w:p w:rsidR="00000000" w:rsidDel="00000000" w:rsidP="00000000" w:rsidRDefault="00000000" w:rsidRPr="00000000" w14:paraId="00000074">
      <w:pPr>
        <w:pStyle w:val="Heading4"/>
        <w:pageBreakBefore w:val="0"/>
        <w:rPr/>
      </w:pPr>
      <w:r w:rsidDel="00000000" w:rsidR="00000000" w:rsidRPr="00000000">
        <w:rPr>
          <w:rtl w:val="0"/>
        </w:rPr>
        <w:t xml:space="preserve">Readings:</w:t>
      </w:r>
    </w:p>
    <w:p w:rsidR="00000000" w:rsidDel="00000000" w:rsidP="00000000" w:rsidRDefault="00000000" w:rsidRPr="00000000" w14:paraId="00000075">
      <w:pPr>
        <w:pStyle w:val="Heading5"/>
        <w:pageBreakBefore w:val="0"/>
        <w:rPr/>
      </w:pPr>
      <w:r w:rsidDel="00000000" w:rsidR="00000000" w:rsidRPr="00000000">
        <w:rPr>
          <w:rtl w:val="0"/>
        </w:rPr>
        <w:t xml:space="preserve">[Optional] </w:t>
      </w:r>
    </w:p>
    <w:p w:rsidR="00000000" w:rsidDel="00000000" w:rsidP="00000000" w:rsidRDefault="00000000" w:rsidRPr="00000000" w14:paraId="00000076">
      <w:pPr>
        <w:pageBreakBefore w:val="0"/>
        <w:rPr/>
      </w:pPr>
      <w:r w:rsidDel="00000000" w:rsidR="00000000" w:rsidRPr="00000000">
        <w:rPr>
          <w:rtl w:val="0"/>
        </w:rPr>
        <w:t xml:space="preserve">Cindi Howson, James Richardson, Rita Sallam, Austin Kronz, </w:t>
      </w:r>
      <w:r w:rsidDel="00000000" w:rsidR="00000000" w:rsidRPr="00000000">
        <w:rPr>
          <w:i w:val="1"/>
          <w:rtl w:val="0"/>
        </w:rPr>
        <w:t xml:space="preserve">Magic Quadrant for Business Intelligence and Analytics Platforms</w:t>
      </w:r>
      <w:r w:rsidDel="00000000" w:rsidR="00000000" w:rsidRPr="00000000">
        <w:rPr>
          <w:rtl w:val="0"/>
        </w:rPr>
        <w:t xml:space="preserve">, Gartner Research, 11 February 2019.</w:t>
      </w:r>
    </w:p>
    <w:p w:rsidR="00000000" w:rsidDel="00000000" w:rsidP="00000000" w:rsidRDefault="00000000" w:rsidRPr="00000000" w14:paraId="00000077">
      <w:pPr>
        <w:pStyle w:val="Heading5"/>
        <w:pageBreakBefore w:val="0"/>
        <w:rPr/>
      </w:pPr>
      <w:r w:rsidDel="00000000" w:rsidR="00000000" w:rsidRPr="00000000">
        <w:rPr>
          <w:rtl w:val="0"/>
        </w:rPr>
        <w:t xml:space="preserve">[Optional] Real-world example(s):</w:t>
      </w:r>
    </w:p>
    <w:p w:rsidR="00000000" w:rsidDel="00000000" w:rsidP="00000000" w:rsidRDefault="00000000" w:rsidRPr="00000000" w14:paraId="00000078">
      <w:pPr>
        <w:pageBreakBefore w:val="0"/>
        <w:rPr/>
      </w:pPr>
      <w:r w:rsidDel="00000000" w:rsidR="00000000" w:rsidRPr="00000000">
        <w:rPr>
          <w:rtl w:val="0"/>
        </w:rPr>
        <w:t xml:space="preserve">See example visualizations in </w:t>
      </w:r>
      <w:hyperlink r:id="rId23">
        <w:r w:rsidDel="00000000" w:rsidR="00000000" w:rsidRPr="00000000">
          <w:rPr>
            <w:color w:val="0000ff"/>
            <w:u w:val="single"/>
            <w:rtl w:val="0"/>
          </w:rPr>
          <w:t xml:space="preserve">Tableau Public</w:t>
        </w:r>
      </w:hyperlink>
      <w:r w:rsidDel="00000000" w:rsidR="00000000" w:rsidRPr="00000000">
        <w:rPr>
          <w:rtl w:val="0"/>
        </w:rPr>
        <w:t xml:space="preserve">.</w:t>
      </w:r>
    </w:p>
    <w:p w:rsidR="00000000" w:rsidDel="00000000" w:rsidP="00000000" w:rsidRDefault="00000000" w:rsidRPr="00000000" w14:paraId="00000079">
      <w:pPr>
        <w:pStyle w:val="Heading3"/>
        <w:pageBreakBefore w:val="0"/>
        <w:rPr/>
      </w:pPr>
      <w:r w:rsidDel="00000000" w:rsidR="00000000" w:rsidRPr="00000000">
        <w:rPr>
          <w:rtl w:val="0"/>
        </w:rPr>
        <w:t xml:space="preserve">Week 7 [March 9, 2022] – IN-PERSON CLASS:  Class assessment and more Tableau visualizations</w:t>
      </w:r>
    </w:p>
    <w:p w:rsidR="00000000" w:rsidDel="00000000" w:rsidP="00000000" w:rsidRDefault="00000000" w:rsidRPr="00000000" w14:paraId="0000007A">
      <w:pPr>
        <w:pStyle w:val="Heading3"/>
        <w:pageBreakBefore w:val="0"/>
        <w:rPr/>
      </w:pPr>
      <w:r w:rsidDel="00000000" w:rsidR="00000000" w:rsidRPr="00000000">
        <w:rPr>
          <w:rtl w:val="0"/>
        </w:rPr>
        <w:t xml:space="preserve">Final project is due March 12, 2022 by midnight</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Style w:val="Heading2"/>
        <w:pageBreakBefore w:val="0"/>
        <w:rPr/>
      </w:pPr>
      <w:r w:rsidDel="00000000" w:rsidR="00000000" w:rsidRPr="00000000">
        <w:rPr>
          <w:rtl w:val="0"/>
        </w:rPr>
        <w:t xml:space="preserve">Sample Source Readings</w:t>
      </w:r>
    </w:p>
    <w:p w:rsidR="00000000" w:rsidDel="00000000" w:rsidP="00000000" w:rsidRDefault="00000000" w:rsidRPr="00000000" w14:paraId="0000007D">
      <w:pPr>
        <w:pageBreakBefore w:val="0"/>
        <w:rPr/>
      </w:pPr>
      <w:r w:rsidDel="00000000" w:rsidR="00000000" w:rsidRPr="00000000">
        <w:rPr>
          <w:rtl w:val="0"/>
        </w:rPr>
        <w:t xml:space="preserve">Readings drawn from academic &amp; business journals and news sources will also be used to encourage in class discussion, illustrate principles, and facilitate learning.  Examples include:</w:t>
      </w:r>
    </w:p>
    <w:p w:rsidR="00000000" w:rsidDel="00000000" w:rsidP="00000000" w:rsidRDefault="00000000" w:rsidRPr="00000000" w14:paraId="0000007E">
      <w:pPr>
        <w:pageBreakBefore w:val="0"/>
        <w:numPr>
          <w:ilvl w:val="0"/>
          <w:numId w:val="3"/>
        </w:numPr>
        <w:ind w:left="420" w:hanging="420"/>
        <w:rPr/>
      </w:pPr>
      <w:r w:rsidDel="00000000" w:rsidR="00000000" w:rsidRPr="00000000">
        <w:rPr>
          <w:rtl w:val="0"/>
        </w:rPr>
        <w:t xml:space="preserve">Use of </w:t>
      </w:r>
      <w:hyperlink r:id="rId24">
        <w:r w:rsidDel="00000000" w:rsidR="00000000" w:rsidRPr="00000000">
          <w:rPr>
            <w:color w:val="0000ff"/>
            <w:u w:val="single"/>
            <w:rtl w:val="0"/>
          </w:rPr>
          <w:t xml:space="preserve">Tableau Public</w:t>
        </w:r>
      </w:hyperlink>
      <w:r w:rsidDel="00000000" w:rsidR="00000000" w:rsidRPr="00000000">
        <w:rPr>
          <w:rtl w:val="0"/>
        </w:rPr>
        <w:t xml:space="preserve"> to share student results data and other publicly available data sets</w:t>
      </w:r>
    </w:p>
    <w:p w:rsidR="00000000" w:rsidDel="00000000" w:rsidP="00000000" w:rsidRDefault="00000000" w:rsidRPr="00000000" w14:paraId="0000007F">
      <w:pPr>
        <w:pageBreakBefore w:val="0"/>
        <w:numPr>
          <w:ilvl w:val="0"/>
          <w:numId w:val="3"/>
        </w:numPr>
        <w:ind w:left="420" w:hanging="420"/>
        <w:rPr/>
      </w:pPr>
      <w:r w:rsidDel="00000000" w:rsidR="00000000" w:rsidRPr="00000000">
        <w:rPr>
          <w:rtl w:val="0"/>
        </w:rPr>
        <w:t xml:space="preserve">Use of </w:t>
      </w:r>
      <w:hyperlink r:id="rId25">
        <w:r w:rsidDel="00000000" w:rsidR="00000000" w:rsidRPr="00000000">
          <w:rPr>
            <w:color w:val="0000ff"/>
            <w:u w:val="single"/>
            <w:rtl w:val="0"/>
          </w:rPr>
          <w:t xml:space="preserve">Gap Minder</w:t>
        </w:r>
      </w:hyperlink>
      <w:r w:rsidDel="00000000" w:rsidR="00000000" w:rsidRPr="00000000">
        <w:rPr>
          <w:rtl w:val="0"/>
        </w:rPr>
        <w:t xml:space="preserve"> to show how human development has changed over time</w:t>
      </w:r>
    </w:p>
    <w:p w:rsidR="00000000" w:rsidDel="00000000" w:rsidP="00000000" w:rsidRDefault="00000000" w:rsidRPr="00000000" w14:paraId="00000080">
      <w:pPr>
        <w:pageBreakBefore w:val="0"/>
        <w:numPr>
          <w:ilvl w:val="0"/>
          <w:numId w:val="3"/>
        </w:numPr>
        <w:ind w:left="420" w:hanging="420"/>
        <w:rPr/>
      </w:pPr>
      <w:r w:rsidDel="00000000" w:rsidR="00000000" w:rsidRPr="00000000">
        <w:rPr>
          <w:rtl w:val="0"/>
        </w:rPr>
        <w:t xml:space="preserve">Growth in the use of technology in governance and politics e.g. </w:t>
      </w:r>
      <w:hyperlink r:id="rId26">
        <w:r w:rsidDel="00000000" w:rsidR="00000000" w:rsidRPr="00000000">
          <w:rPr>
            <w:color w:val="0000ff"/>
            <w:u w:val="single"/>
            <w:rtl w:val="0"/>
          </w:rPr>
          <w:t xml:space="preserve">civic tech</w:t>
        </w:r>
      </w:hyperlink>
      <w:r w:rsidDel="00000000" w:rsidR="00000000" w:rsidRPr="00000000">
        <w:rPr>
          <w:rtl w:val="0"/>
        </w:rPr>
        <w:t xml:space="preserve">: </w:t>
      </w:r>
      <w:hyperlink r:id="rId27">
        <w:r w:rsidDel="00000000" w:rsidR="00000000" w:rsidRPr="00000000">
          <w:rPr>
            <w:color w:val="0000ff"/>
            <w:u w:val="single"/>
            <w:rtl w:val="0"/>
          </w:rPr>
          <w:t xml:space="preserve">TechPresident</w:t>
        </w:r>
      </w:hyperlink>
      <w:r w:rsidDel="00000000" w:rsidR="00000000" w:rsidRPr="00000000">
        <w:rPr>
          <w:rtl w:val="0"/>
        </w:rPr>
      </w:r>
    </w:p>
    <w:p w:rsidR="00000000" w:rsidDel="00000000" w:rsidP="00000000" w:rsidRDefault="00000000" w:rsidRPr="00000000" w14:paraId="00000081">
      <w:pPr>
        <w:pageBreakBefore w:val="0"/>
        <w:numPr>
          <w:ilvl w:val="0"/>
          <w:numId w:val="3"/>
        </w:numPr>
        <w:ind w:left="420" w:hanging="420"/>
        <w:rPr>
          <w:color w:val="000000"/>
          <w:u w:val="none"/>
        </w:rPr>
      </w:pPr>
      <w:r w:rsidDel="00000000" w:rsidR="00000000" w:rsidRPr="00000000">
        <w:rPr>
          <w:rtl w:val="0"/>
        </w:rPr>
        <w:t xml:space="preserve">Including the ability to discern and critically assess those presenting data:  </w:t>
      </w:r>
      <w:hyperlink r:id="rId28">
        <w:r w:rsidDel="00000000" w:rsidR="00000000" w:rsidRPr="00000000">
          <w:rPr>
            <w:color w:val="0000ff"/>
            <w:u w:val="single"/>
            <w:rtl w:val="0"/>
          </w:rPr>
          <w:t xml:space="preserve">FiveThirtyEight</w:t>
        </w:r>
      </w:hyperlink>
      <w:r w:rsidDel="00000000" w:rsidR="00000000" w:rsidRPr="00000000">
        <w:rPr>
          <w:rtl w:val="0"/>
        </w:rPr>
        <w:t xml:space="preserve"> ; </w:t>
      </w:r>
      <w:hyperlink r:id="rId29">
        <w:r w:rsidDel="00000000" w:rsidR="00000000" w:rsidRPr="00000000">
          <w:rPr>
            <w:color w:val="0000ff"/>
            <w:u w:val="single"/>
            <w:rtl w:val="0"/>
          </w:rPr>
          <w:t xml:space="preserve">New York Times: TheUpshot</w:t>
        </w:r>
      </w:hyperlink>
      <w:r w:rsidDel="00000000" w:rsidR="00000000" w:rsidRPr="00000000">
        <w:rPr>
          <w:rtl w:val="0"/>
        </w:rPr>
      </w:r>
    </w:p>
    <w:p w:rsidR="00000000" w:rsidDel="00000000" w:rsidP="00000000" w:rsidRDefault="00000000" w:rsidRPr="00000000" w14:paraId="00000082">
      <w:pPr>
        <w:pStyle w:val="Heading2"/>
        <w:pageBreakBefore w:val="0"/>
        <w:rPr/>
      </w:pPr>
      <w:bookmarkStart w:colFirst="0" w:colLast="0" w:name="_3dy6vkm" w:id="5"/>
      <w:bookmarkEnd w:id="5"/>
      <w:r w:rsidDel="00000000" w:rsidR="00000000" w:rsidRPr="00000000">
        <w:rPr>
          <w:rtl w:val="0"/>
        </w:rPr>
        <w:t xml:space="preserve">Academic Integrity</w:t>
      </w:r>
    </w:p>
    <w:p w:rsidR="00000000" w:rsidDel="00000000" w:rsidP="00000000" w:rsidRDefault="00000000" w:rsidRPr="00000000" w14:paraId="00000083">
      <w:pPr>
        <w:pageBreakBefore w:val="0"/>
        <w:rPr/>
      </w:pPr>
      <w:r w:rsidDel="00000000" w:rsidR="00000000" w:rsidRPr="00000000">
        <w:rPr>
          <w:rtl w:val="0"/>
        </w:rPr>
        <w:t xml:space="preserve">Academic integrity is a vital component of Wagner and NYU. All students enrolled in this class are required to read and abide by </w:t>
      </w:r>
      <w:hyperlink r:id="rId30">
        <w:r w:rsidDel="00000000" w:rsidR="00000000" w:rsidRPr="00000000">
          <w:rPr>
            <w:color w:val="0000ff"/>
            <w:u w:val="single"/>
            <w:rtl w:val="0"/>
          </w:rPr>
          <w:t xml:space="preserve">Wagner’s Academic Code</w:t>
        </w:r>
      </w:hyperlink>
      <w:r w:rsidDel="00000000" w:rsidR="00000000" w:rsidRPr="00000000">
        <w:rPr>
          <w:rtl w:val="0"/>
        </w:rPr>
        <w:t xml:space="preserve">. All Wagner students have already read and signed the </w:t>
      </w:r>
      <w:hyperlink r:id="rId31">
        <w:r w:rsidDel="00000000" w:rsidR="00000000" w:rsidRPr="00000000">
          <w:rPr>
            <w:color w:val="0000ff"/>
            <w:u w:val="single"/>
            <w:rtl w:val="0"/>
          </w:rPr>
          <w:t xml:space="preserve">Wagner Academic Oath</w:t>
        </w:r>
      </w:hyperlink>
      <w:r w:rsidDel="00000000" w:rsidR="00000000" w:rsidRPr="00000000">
        <w:rPr>
          <w:rtl w:val="0"/>
        </w:rPr>
        <w:t xml:space="preserve">. </w:t>
      </w:r>
      <w:r w:rsidDel="00000000" w:rsidR="00000000" w:rsidRPr="00000000">
        <w:rPr>
          <w:color w:val="222222"/>
          <w:highlight w:val="white"/>
          <w:rtl w:val="0"/>
        </w:rPr>
        <w:t xml:space="preserve">Plagiarism of any form will not be tolerated and students in this class are expected to report violations to me. </w:t>
      </w:r>
      <w:r w:rsidDel="00000000" w:rsidR="00000000" w:rsidRPr="00000000">
        <w:rPr>
          <w:rtl w:val="0"/>
        </w:rPr>
        <w:t xml:space="preserve">If any student in this class is unsure about what is expected of you and how to abide by the academic code, you should consult with me.</w:t>
      </w:r>
    </w:p>
    <w:p w:rsidR="00000000" w:rsidDel="00000000" w:rsidP="00000000" w:rsidRDefault="00000000" w:rsidRPr="00000000" w14:paraId="00000084">
      <w:pPr>
        <w:pStyle w:val="Heading2"/>
        <w:pageBreakBefore w:val="0"/>
        <w:rPr/>
      </w:pPr>
      <w:r w:rsidDel="00000000" w:rsidR="00000000" w:rsidRPr="00000000">
        <w:rPr>
          <w:rtl w:val="0"/>
        </w:rPr>
        <w:t xml:space="preserve">Henry and Lucy Moses Center for Students with Disabilities at NYU</w:t>
      </w:r>
    </w:p>
    <w:p w:rsidR="00000000" w:rsidDel="00000000" w:rsidP="00000000" w:rsidRDefault="00000000" w:rsidRPr="00000000" w14:paraId="00000085">
      <w:pPr>
        <w:pageBreakBefore w:val="0"/>
        <w:rPr/>
      </w:pPr>
      <w:r w:rsidDel="00000000" w:rsidR="00000000" w:rsidRPr="00000000">
        <w:rPr>
          <w:rtl w:val="0"/>
        </w:rPr>
        <w:t xml:space="preserve">Academic accommodations are available for students with disabilities.  Please visit the </w:t>
      </w:r>
      <w:hyperlink r:id="rId32">
        <w:r w:rsidDel="00000000" w:rsidR="00000000" w:rsidRPr="00000000">
          <w:rPr>
            <w:color w:val="0000ff"/>
            <w:u w:val="single"/>
            <w:rtl w:val="0"/>
          </w:rPr>
          <w:t xml:space="preserve">Moses Center for Students with Disabilities (CSD) website</w:t>
        </w:r>
      </w:hyperlink>
      <w:r w:rsidDel="00000000" w:rsidR="00000000" w:rsidRPr="00000000">
        <w:rPr>
          <w:rtl w:val="0"/>
        </w:rPr>
        <w:t xml:space="preserve"> </w:t>
      </w:r>
      <w:r w:rsidDel="00000000" w:rsidR="00000000" w:rsidRPr="00000000">
        <w:rPr>
          <w:b w:val="1"/>
          <w:rtl w:val="0"/>
        </w:rPr>
        <w:t xml:space="preserve">and click the “Get Started” button. You can also call or email CSD </w:t>
      </w:r>
      <w:r w:rsidDel="00000000" w:rsidR="00000000" w:rsidRPr="00000000">
        <w:rPr>
          <w:rtl w:val="0"/>
        </w:rPr>
        <w:t xml:space="preserve">(212-998-4980 or </w:t>
      </w:r>
      <w:hyperlink r:id="rId33">
        <w:r w:rsidDel="00000000" w:rsidR="00000000" w:rsidRPr="00000000">
          <w:rPr>
            <w:color w:val="0000ff"/>
            <w:u w:val="single"/>
            <w:rtl w:val="0"/>
          </w:rPr>
          <w:t xml:space="preserve">mosescsd@nyu.edu</w:t>
        </w:r>
      </w:hyperlink>
      <w:r w:rsidDel="00000000" w:rsidR="00000000" w:rsidRPr="00000000">
        <w:rPr>
          <w:rtl w:val="0"/>
        </w:rPr>
        <w:t xml:space="preserve">) for information. Students who are requesting academic accommodations are strongly advised to reach out to the Moses Center as early as possible in the semester for assistance.</w:t>
      </w:r>
    </w:p>
    <w:p w:rsidR="00000000" w:rsidDel="00000000" w:rsidP="00000000" w:rsidRDefault="00000000" w:rsidRPr="00000000" w14:paraId="00000086">
      <w:pPr>
        <w:pStyle w:val="Heading2"/>
        <w:pageBreakBefore w:val="0"/>
        <w:rPr/>
      </w:pPr>
      <w:r w:rsidDel="00000000" w:rsidR="00000000" w:rsidRPr="00000000">
        <w:rPr>
          <w:rtl w:val="0"/>
        </w:rPr>
        <w:t xml:space="preserve">NYU’s Calendar Policy on Religious Holidays</w:t>
      </w:r>
    </w:p>
    <w:p w:rsidR="00000000" w:rsidDel="00000000" w:rsidP="00000000" w:rsidRDefault="00000000" w:rsidRPr="00000000" w14:paraId="0000008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NYU’s Calendar Policy on Religious Holidays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000000" w:rsidDel="00000000" w:rsidP="00000000" w:rsidRDefault="00000000" w:rsidRPr="00000000" w14:paraId="00000088">
      <w:pPr>
        <w:pStyle w:val="Heading2"/>
        <w:pageBreakBefore w:val="0"/>
        <w:rPr/>
      </w:pPr>
      <w:r w:rsidDel="00000000" w:rsidR="00000000" w:rsidRPr="00000000">
        <w:rPr>
          <w:rtl w:val="0"/>
        </w:rPr>
        <w:t xml:space="preserve">NYU’s Wellness Exchange</w:t>
      </w:r>
    </w:p>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3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NYU’s Wellness Exchange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extensive student health and mental health resources. A private hotline (212-443-9999) is available 24/7 that connects students with a professional who can help them address day-to-day challenges as well as other health-related concerns.</w:t>
      </w:r>
    </w:p>
    <w:sectPr>
      <w:foot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first principle is “the fundamental concepts of assumptions on which a theory, system, or method is based.” [English Oxford Dictionary]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20" w:hanging="42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b w:val="1"/>
      <w:color w:val="000000"/>
      <w:sz w:val="28"/>
      <w:szCs w:val="28"/>
    </w:rPr>
  </w:style>
  <w:style w:type="paragraph" w:styleId="Heading4">
    <w:name w:val="heading 4"/>
    <w:basedOn w:val="Normal"/>
    <w:next w:val="Normal"/>
    <w:pPr>
      <w:keepNext w:val="1"/>
      <w:keepLines w:val="1"/>
      <w:pageBreakBefore w:val="0"/>
      <w:spacing w:after="80" w:before="280" w:lineRule="auto"/>
    </w:pPr>
    <w:rPr>
      <w:b w:val="1"/>
      <w:color w:val="000000"/>
      <w:sz w:val="24"/>
      <w:szCs w:val="24"/>
    </w:rPr>
  </w:style>
  <w:style w:type="paragraph" w:styleId="Heading5">
    <w:name w:val="heading 5"/>
    <w:basedOn w:val="Normal"/>
    <w:next w:val="Normal"/>
    <w:pPr>
      <w:keepNext w:val="1"/>
      <w:keepLines w:val="1"/>
      <w:pageBreakBefore w:val="0"/>
      <w:spacing w:after="80" w:before="240" w:lineRule="auto"/>
    </w:pPr>
    <w:rPr>
      <w:b w:val="1"/>
      <w:color w:val="000000"/>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diversitydatakids.org/research-library/data-visualization/child-opportunity-gap" TargetMode="External"/><Relationship Id="rId22" Type="http://schemas.openxmlformats.org/officeDocument/2006/relationships/hyperlink" Target="http://www.diversitydatakids.org/policy-equity-assessments" TargetMode="External"/><Relationship Id="rId21" Type="http://schemas.openxmlformats.org/officeDocument/2006/relationships/hyperlink" Target="http://www.diversitydatakids.org/research-library/data-visualization/snapshot-child-opportunity-across-us" TargetMode="External"/><Relationship Id="rId24" Type="http://schemas.openxmlformats.org/officeDocument/2006/relationships/hyperlink" Target="https://public.tableau.com/s/" TargetMode="External"/><Relationship Id="rId23" Type="http://schemas.openxmlformats.org/officeDocument/2006/relationships/hyperlink" Target="https://public.tableau.com/en-us/gallery/?tab=viz-of-the-day&amp;type=viz-of-the-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deas42.org/wp-content/uploads/2019/10/I42-1152_ChangingBehaviorPaper_3-FINAL.pdf" TargetMode="External"/><Relationship Id="rId26" Type="http://schemas.openxmlformats.org/officeDocument/2006/relationships/hyperlink" Target="http://civichall.org/civicist/" TargetMode="External"/><Relationship Id="rId25" Type="http://schemas.openxmlformats.org/officeDocument/2006/relationships/hyperlink" Target="https://www.gapminder.org/" TargetMode="External"/><Relationship Id="rId28" Type="http://schemas.openxmlformats.org/officeDocument/2006/relationships/hyperlink" Target="https://fivethirtyeight.com/" TargetMode="External"/><Relationship Id="rId27" Type="http://schemas.openxmlformats.org/officeDocument/2006/relationships/hyperlink" Target="http://techpresident.co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ytimes.com/section/upshot" TargetMode="External"/><Relationship Id="rId7" Type="http://schemas.openxmlformats.org/officeDocument/2006/relationships/image" Target="media/image1.jpg"/><Relationship Id="rId8" Type="http://schemas.openxmlformats.org/officeDocument/2006/relationships/hyperlink" Target="https://www.mckinsey.com/business-functions/mckinsey-analytics/our-insights/why-data-culture-matters" TargetMode="External"/><Relationship Id="rId31" Type="http://schemas.openxmlformats.org/officeDocument/2006/relationships/hyperlink" Target="https://wagner.nyu.edu/portal/students/policies/academic-oath" TargetMode="External"/><Relationship Id="rId30" Type="http://schemas.openxmlformats.org/officeDocument/2006/relationships/hyperlink" Target="https://wagner.nyu.edu/portal/students/policies/code" TargetMode="External"/><Relationship Id="rId11" Type="http://schemas.openxmlformats.org/officeDocument/2006/relationships/hyperlink" Target="https://www2.deloitte.com/us/en/insights/authors/f/rachel-frey.html" TargetMode="External"/><Relationship Id="rId33" Type="http://schemas.openxmlformats.org/officeDocument/2006/relationships/hyperlink" Target="mailto:mosescsd@nyu.edu" TargetMode="External"/><Relationship Id="rId10" Type="http://schemas.openxmlformats.org/officeDocument/2006/relationships/hyperlink" Target="https://www2.deloitte.com/us/en/insights/authors/k/mahesh-kelkar.html" TargetMode="External"/><Relationship Id="rId32" Type="http://schemas.openxmlformats.org/officeDocument/2006/relationships/hyperlink" Target="https://www.nyu.edu/students/communities-and-groups/students-with-disabilities.html" TargetMode="External"/><Relationship Id="rId13" Type="http://schemas.openxmlformats.org/officeDocument/2006/relationships/hyperlink" Target="https://www.mckinsey.com/business-functions/mckinsey-analytics/our-insights/achieving-business-impact-with-data" TargetMode="External"/><Relationship Id="rId35" Type="http://schemas.openxmlformats.org/officeDocument/2006/relationships/hyperlink" Target="http://www.nyu.edu/life/safety-health-wellness/wellness-exchange.html" TargetMode="External"/><Relationship Id="rId12" Type="http://schemas.openxmlformats.org/officeDocument/2006/relationships/hyperlink" Target="https://www2.deloitte.com/us/en/insights/authors/s/nagen-suriya.html" TargetMode="External"/><Relationship Id="rId34" Type="http://schemas.openxmlformats.org/officeDocument/2006/relationships/hyperlink" Target="https://www.nyu.edu/about/policies-guidelines-compliance/policies-and-guidelines/university-calendar-policy-on-religious-holidays.html" TargetMode="External"/><Relationship Id="rId15" Type="http://schemas.openxmlformats.org/officeDocument/2006/relationships/hyperlink" Target="https://www.cdc.gov/mmwr/volumes/68/wr/mm6818e1.htm?s_cid=mm6818e1_w" TargetMode="External"/><Relationship Id="rId14" Type="http://schemas.openxmlformats.org/officeDocument/2006/relationships/hyperlink" Target="https://www.nytimes.com/2019/05/07/health/pregnancy-deaths-.html" TargetMode="External"/><Relationship Id="rId36" Type="http://schemas.openxmlformats.org/officeDocument/2006/relationships/footer" Target="footer1.xml"/><Relationship Id="rId17" Type="http://schemas.openxmlformats.org/officeDocument/2006/relationships/hyperlink" Target="https://www.nytimes.com/2018/08/01/nyregion/economic-development-funding-report.html" TargetMode="External"/><Relationship Id="rId16" Type="http://schemas.openxmlformats.org/officeDocument/2006/relationships/hyperlink" Target="https://www.cdc.gov/reproductivehealth/maternalinfanthealth/pregnancy-mortality-surveillance-system.htm" TargetMode="External"/><Relationship Id="rId19" Type="http://schemas.openxmlformats.org/officeDocument/2006/relationships/hyperlink" Target="https://www.cnn.com/2020/01/22/health/best-neighborhoods-for-kids-wellness/index.html" TargetMode="External"/><Relationship Id="rId18" Type="http://schemas.openxmlformats.org/officeDocument/2006/relationships/hyperlink" Target="http://ccnmtl.columbia.edu/projects/caseconsortium/casestudies/127/casestudy/www/layout/case_id_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