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43600" cy="667385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7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right="37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CORE-GP 1022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Introduction to Public Policy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407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Fall 2022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ind w:left="14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Instructor Information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09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Andrew Barnhill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Email: </w:t>
      </w:r>
      <w:r>
        <w:rPr>
          <w:rFonts w:ascii="Times New Roman" w:eastAsia="Times New Roman" w:hAnsi="Times New Roman" w:cs="Times New Roman"/>
          <w:color w:val="0000FF"/>
          <w:u w:val="single"/>
        </w:rPr>
        <w:t>andrew.barnhill@nyu.edu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09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Office Address: Puck 300 and Washington, DC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21" w:lineRule="auto"/>
        <w:ind w:left="2163" w:right="1029" w:hanging="351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Office Hours: Tuesdays, 3:00-4:30 and by appointment. I will typically be available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to  meet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immediately before class and I am happy to arrange other times.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4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Course Information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09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Lecture: </w:t>
      </w:r>
      <w:r>
        <w:rPr>
          <w:rFonts w:ascii="Times New Roman" w:eastAsia="Times New Roman" w:hAnsi="Times New Roman" w:cs="Times New Roman"/>
          <w:b/>
          <w:color w:val="000000"/>
        </w:rPr>
        <w:t>Section 1</w:t>
      </w:r>
      <w:r>
        <w:rPr>
          <w:rFonts w:ascii="Times New Roman" w:eastAsia="Times New Roman" w:hAnsi="Times New Roman" w:cs="Times New Roman"/>
          <w:color w:val="000000"/>
        </w:rPr>
        <w:t xml:space="preserve">: Tuesdays, 4:55-6:30 PM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09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Recitations: See Schedule in Albert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812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Class Location: 194 Mercer, Room 304, Washington Square </w:t>
      </w:r>
    </w:p>
    <w:p w:rsidR="00890C76" w:rsidRPr="0092590E" w:rsidRDefault="008302E1" w:rsidP="0092590E">
      <w:pPr>
        <w:pStyle w:val="Heading1"/>
        <w:ind w:left="144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>Course Description</w:t>
      </w:r>
      <w:r w:rsidRPr="00925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7" w:lineRule="auto"/>
        <w:ind w:left="1441" w:right="321" w:firstLine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first goal of the course is to provide students an overview of the political actors and </w:t>
      </w:r>
      <w:r w:rsidR="0092590E">
        <w:rPr>
          <w:rFonts w:ascii="Times New Roman" w:eastAsia="Times New Roman" w:hAnsi="Times New Roman" w:cs="Times New Roman"/>
          <w:color w:val="000000"/>
        </w:rPr>
        <w:t>institutions involved</w:t>
      </w:r>
      <w:r>
        <w:rPr>
          <w:rFonts w:ascii="Times New Roman" w:eastAsia="Times New Roman" w:hAnsi="Times New Roman" w:cs="Times New Roman"/>
          <w:color w:val="000000"/>
        </w:rPr>
        <w:t xml:space="preserve"> in U.S. federal, state, and local public policy. We will reference legal, political </w:t>
      </w:r>
      <w:r w:rsidR="0092590E">
        <w:rPr>
          <w:rFonts w:ascii="Times New Roman" w:eastAsia="Times New Roman" w:hAnsi="Times New Roman" w:cs="Times New Roman"/>
          <w:color w:val="000000"/>
        </w:rPr>
        <w:t>science, public</w:t>
      </w:r>
      <w:r>
        <w:rPr>
          <w:rFonts w:ascii="Times New Roman" w:eastAsia="Times New Roman" w:hAnsi="Times New Roman" w:cs="Times New Roman"/>
          <w:color w:val="000000"/>
        </w:rPr>
        <w:t xml:space="preserve"> administration, and public policy resear</w:t>
      </w:r>
      <w:r>
        <w:rPr>
          <w:rFonts w:ascii="Times New Roman" w:eastAsia="Times New Roman" w:hAnsi="Times New Roman" w:cs="Times New Roman"/>
          <w:color w:val="000000"/>
        </w:rPr>
        <w:t xml:space="preserve">ch to discuss the four venues of domestic public policy – lawmaking, rulemaking, implementation, and litigation. For each venue, we will (1) introduce </w:t>
      </w:r>
      <w:r w:rsidR="0092590E">
        <w:rPr>
          <w:rFonts w:ascii="Times New Roman" w:eastAsia="Times New Roman" w:hAnsi="Times New Roman" w:cs="Times New Roman"/>
          <w:color w:val="000000"/>
        </w:rPr>
        <w:t>the institutional</w:t>
      </w:r>
      <w:r>
        <w:rPr>
          <w:rFonts w:ascii="Times New Roman" w:eastAsia="Times New Roman" w:hAnsi="Times New Roman" w:cs="Times New Roman"/>
          <w:color w:val="000000"/>
        </w:rPr>
        <w:t xml:space="preserve"> rules and pivotal actors and (2) discuss the interaction of actors and institutions wi</w:t>
      </w:r>
      <w:r>
        <w:rPr>
          <w:rFonts w:ascii="Times New Roman" w:eastAsia="Times New Roman" w:hAnsi="Times New Roman" w:cs="Times New Roman"/>
          <w:color w:val="000000"/>
        </w:rPr>
        <w:t xml:space="preserve">thin </w:t>
      </w:r>
      <w:r w:rsidR="0092590E">
        <w:rPr>
          <w:rFonts w:ascii="Times New Roman" w:eastAsia="Times New Roman" w:hAnsi="Times New Roman" w:cs="Times New Roman"/>
          <w:color w:val="000000"/>
        </w:rPr>
        <w:t>the context</w:t>
      </w:r>
      <w:r>
        <w:rPr>
          <w:rFonts w:ascii="Times New Roman" w:eastAsia="Times New Roman" w:hAnsi="Times New Roman" w:cs="Times New Roman"/>
          <w:color w:val="000000"/>
        </w:rPr>
        <w:t xml:space="preserve"> of a case study.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5" w:lineRule="auto"/>
        <w:ind w:left="1441" w:right="131" w:firstLine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second goal of this course is to train students how to write a stakeholder analysis, </w:t>
      </w:r>
      <w:r w:rsidR="0092590E">
        <w:rPr>
          <w:rFonts w:ascii="Times New Roman" w:eastAsia="Times New Roman" w:hAnsi="Times New Roman" w:cs="Times New Roman"/>
          <w:color w:val="000000"/>
        </w:rPr>
        <w:t>policy memorandum</w:t>
      </w:r>
      <w:r>
        <w:rPr>
          <w:rFonts w:ascii="Times New Roman" w:eastAsia="Times New Roman" w:hAnsi="Times New Roman" w:cs="Times New Roman"/>
          <w:color w:val="000000"/>
        </w:rPr>
        <w:t xml:space="preserve">, and op-ed. We will reference economics, political science, public administration, </w:t>
      </w:r>
      <w:r w:rsidR="0092590E">
        <w:rPr>
          <w:rFonts w:ascii="Times New Roman" w:eastAsia="Times New Roman" w:hAnsi="Times New Roman" w:cs="Times New Roman"/>
          <w:color w:val="000000"/>
        </w:rPr>
        <w:t>and public</w:t>
      </w:r>
      <w:r>
        <w:rPr>
          <w:rFonts w:ascii="Times New Roman" w:eastAsia="Times New Roman" w:hAnsi="Times New Roman" w:cs="Times New Roman"/>
          <w:color w:val="000000"/>
        </w:rPr>
        <w:t xml:space="preserve"> policy research t</w:t>
      </w:r>
      <w:r>
        <w:rPr>
          <w:rFonts w:ascii="Times New Roman" w:eastAsia="Times New Roman" w:hAnsi="Times New Roman" w:cs="Times New Roman"/>
          <w:color w:val="000000"/>
        </w:rPr>
        <w:t xml:space="preserve">o determine a client’s policy goal(s), identify the relevant stakeholders, </w:t>
      </w:r>
      <w:r w:rsidR="0092590E">
        <w:rPr>
          <w:rFonts w:ascii="Times New Roman" w:eastAsia="Times New Roman" w:hAnsi="Times New Roman" w:cs="Times New Roman"/>
          <w:color w:val="000000"/>
        </w:rPr>
        <w:t>formulate policy</w:t>
      </w:r>
      <w:r>
        <w:rPr>
          <w:rFonts w:ascii="Times New Roman" w:eastAsia="Times New Roman" w:hAnsi="Times New Roman" w:cs="Times New Roman"/>
          <w:color w:val="000000"/>
        </w:rPr>
        <w:t xml:space="preserve"> recommendations for a client, execute a policy recommendation for a client, and prepare a </w:t>
      </w:r>
      <w:r w:rsidR="0092590E">
        <w:rPr>
          <w:rFonts w:ascii="Times New Roman" w:eastAsia="Times New Roman" w:hAnsi="Times New Roman" w:cs="Times New Roman"/>
          <w:color w:val="000000"/>
        </w:rPr>
        <w:t>public affairs</w:t>
      </w:r>
      <w:r>
        <w:rPr>
          <w:rFonts w:ascii="Times New Roman" w:eastAsia="Times New Roman" w:hAnsi="Times New Roman" w:cs="Times New Roman"/>
          <w:color w:val="000000"/>
        </w:rPr>
        <w:t xml:space="preserve"> strategy to promote the policy recommendation.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4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By the end of this course students should be able to: </w:t>
      </w:r>
    </w:p>
    <w:p w:rsidR="0092590E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8" w:lineRule="auto"/>
        <w:ind w:left="1804" w:right="181" w:firstLine="1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Identify and explain the relationship between interests, ideas, and institutions in a policy process. </w:t>
      </w:r>
    </w:p>
    <w:p w:rsidR="00890C76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804" w:right="181" w:firstLine="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Clearly articulate and frame a policy issue in a way that calls attention to it and mobilizes</w:t>
      </w:r>
      <w:r>
        <w:rPr>
          <w:rFonts w:ascii="Times New Roman" w:eastAsia="Times New Roman" w:hAnsi="Times New Roman" w:cs="Times New Roman"/>
          <w:color w:val="000000"/>
        </w:rPr>
        <w:t xml:space="preserve"> action, 3. Develop the competence to identify the key stakeholders on an issue.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23" w:lineRule="auto"/>
        <w:ind w:left="2161" w:right="1002" w:hanging="3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Develop the capacity to evaluate and recommend a policy response to a specific </w:t>
      </w:r>
      <w:r w:rsidR="0092590E">
        <w:rPr>
          <w:rFonts w:ascii="Times New Roman" w:eastAsia="Times New Roman" w:hAnsi="Times New Roman" w:cs="Times New Roman"/>
          <w:color w:val="000000"/>
        </w:rPr>
        <w:t>policy problem</w:t>
      </w:r>
      <w:r>
        <w:rPr>
          <w:rFonts w:ascii="Times New Roman" w:eastAsia="Times New Roman" w:hAnsi="Times New Roman" w:cs="Times New Roman"/>
          <w:color w:val="000000"/>
        </w:rPr>
        <w:t xml:space="preserve"> using criteria of effectiveness, efficiency, and political feasibility.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8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Develop the capacity to orally communicate policy recommendations. </w:t>
      </w:r>
    </w:p>
    <w:p w:rsidR="00890C76" w:rsidRPr="0092590E" w:rsidRDefault="008302E1" w:rsidP="0092590E">
      <w:pPr>
        <w:pStyle w:val="Heading1"/>
        <w:ind w:left="144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>Course Requirements</w:t>
      </w:r>
      <w:r w:rsidRPr="00925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90E" w:rsidRDefault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1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9383" w:type="dxa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703"/>
      </w:tblGrid>
      <w:tr w:rsidR="00890C76" w:rsidTr="0092590E">
        <w:trPr>
          <w:trHeight w:val="29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Assignment </w:t>
            </w:r>
          </w:p>
        </w:tc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Points</w:t>
            </w:r>
          </w:p>
        </w:tc>
      </w:tr>
      <w:tr w:rsidR="00890C76" w:rsidTr="0092590E">
        <w:trPr>
          <w:trHeight w:val="28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Participation </w:t>
            </w:r>
          </w:p>
        </w:tc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0C76" w:rsidTr="0092590E">
        <w:trPr>
          <w:trHeight w:val="28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 Checks </w:t>
            </w:r>
          </w:p>
        </w:tc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0C76" w:rsidTr="0092590E">
        <w:trPr>
          <w:trHeight w:val="28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Op-Ed </w:t>
            </w:r>
          </w:p>
        </w:tc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0C76" w:rsidTr="0092590E">
        <w:trPr>
          <w:trHeight w:val="28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Stakeholder Analysis </w:t>
            </w:r>
          </w:p>
        </w:tc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90C76" w:rsidTr="0092590E">
        <w:trPr>
          <w:trHeight w:val="28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Options Memo </w:t>
            </w:r>
          </w:p>
        </w:tc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90C76" w:rsidTr="0092590E">
        <w:trPr>
          <w:trHeight w:val="28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Strategy Memo </w:t>
            </w:r>
          </w:p>
        </w:tc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90C76" w:rsidTr="0092590E">
        <w:trPr>
          <w:trHeight w:val="28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Client Presentation </w:t>
            </w:r>
          </w:p>
        </w:tc>
        <w:tc>
          <w:tcPr>
            <w:tcW w:w="4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76" w:rsidRDefault="008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90C76" w:rsidRDefault="00890C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90C76" w:rsidRDefault="00890C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90C76" w:rsidRPr="0092590E" w:rsidRDefault="008302E1" w:rsidP="0092590E">
      <w:pPr>
        <w:pStyle w:val="Heading1"/>
        <w:spacing w:before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>Grades</w:t>
      </w:r>
      <w:r w:rsidRPr="00925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6" w:lineRule="auto"/>
        <w:ind w:left="1446" w:right="64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What grades are 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They are not a reward or punishment; they are not a measure of effort; they do not represent the essence of who a student is as a person; they do not define what a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student 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cannot achieve. I have written equally stellar recommendation letters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“C” students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and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A” students.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1" w:lineRule="auto"/>
        <w:ind w:left="1811" w:right="162" w:hanging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What grades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They are a tool that is generally used for two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interrelated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purposes: (1)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 assess academic performance during the study of a particular subject or skill.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this course, students have the responsibility for learning the subject or skill and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for demonstrating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they have achieved that learning.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7" w:lineRule="auto"/>
        <w:ind w:left="2163" w:right="316" w:hanging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 provide information for students so they can make decisions about changes </w:t>
      </w:r>
      <w:r w:rsidR="009259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they may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need to make in order to demonstrate they have achieved that 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Learning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subject is what matters, and grades are used to show to what degree the student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has shown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he or she has learned the subject. </w:t>
      </w:r>
    </w:p>
    <w:p w:rsidR="00890C76" w:rsidRPr="0092590E" w:rsidRDefault="008302E1" w:rsidP="0092590E">
      <w:pPr>
        <w:pStyle w:val="Heading1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>Overview of Assignments</w:t>
      </w:r>
      <w:r w:rsidRPr="00925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76" w:rsidRPr="0092590E" w:rsidRDefault="008302E1" w:rsidP="0092590E">
      <w:pPr>
        <w:pStyle w:val="Heading2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 xml:space="preserve">Class Participation </w:t>
      </w:r>
    </w:p>
    <w:p w:rsidR="0092590E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7" w:lineRule="auto"/>
        <w:ind w:left="1441" w:right="333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ctive and engaged participation in class and recitation will result in better learning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outcomes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represents 5% of the total course grade. There are a number of case studies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and simulations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require preparation and engagement. Failure to do so 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be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determining your participation grade. Peer review is an important part of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the recitation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sections and process for writing.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2590E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29" w:lineRule="auto"/>
        <w:ind w:left="1809" w:right="185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course depends on active and ongoing participation by all class participants. </w:t>
      </w:r>
    </w:p>
    <w:p w:rsidR="0092590E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29" w:lineRule="auto"/>
        <w:ind w:left="1620"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Participation begi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 with effective reading and listening. Class participants are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expected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and discuss the readings on a weekly basis. That means coming prepared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to engage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class with questions and/or comments with respect to the reading. You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have completed all the required readings before class to the point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where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called on to critique or discuss any reading. </w:t>
      </w:r>
    </w:p>
    <w:p w:rsidR="00890C76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296" w:line="237" w:lineRule="auto"/>
        <w:ind w:left="1620" w:right="73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Before approaching each reading, think about what the key questions are for the </w:t>
      </w:r>
      <w:r w:rsidR="0092590E">
        <w:rPr>
          <w:rFonts w:ascii="Times New Roman" w:eastAsia="Times New Roman" w:hAnsi="Times New Roman" w:cs="Times New Roman"/>
          <w:color w:val="000000"/>
          <w:sz w:val="23"/>
          <w:szCs w:val="23"/>
        </w:rPr>
        <w:t>week and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about how the questions from this week relate to what you know from previous </w:t>
      </w:r>
    </w:p>
    <w:p w:rsidR="00890C76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27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weeks. Then skim over the reading to get a sense of the themes it covers and,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before reading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further, jot down what questions you hope the reading will be able to answer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for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Next, read the introduction and conclusion. This is normally enough to get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sense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big picture. Ask yourself: Are the claims in the text surprising? Do you believe them?  Can you think of examples that do not seem consistent with the logic of the argument?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reading answering the questions you hoped it would answer?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Finally, ask yourself:  What types of evidence or arguments would you need to see in order to be convinced? </w:t>
      </w:r>
    </w:p>
    <w:p w:rsidR="00890C76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26" w:lineRule="auto"/>
        <w:ind w:left="1620"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class itself, the key to quality participation is listening. Asking good questions is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the 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 element. What did you mean by that? How do you/we know? What’s the evidence for that claim? Share your thoughts and reactions in ways that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promote critical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engagement with them. </w:t>
      </w:r>
    </w:p>
    <w:p w:rsidR="00890C76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27" w:lineRule="auto"/>
        <w:ind w:left="1620" w:right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Students are also expected to follow the news, reading at least one major US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newspaper daily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newsweekly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Economist, Time, Newsweek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You should also be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familiar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main journals in public policy and policy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analysis. Depending on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your particular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 of expertise, these could include general journals like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Public Administration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Development, Policy Sciences, Journal of Policy Analysis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and Management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Journal of Public Policy, etc. </w:t>
      </w:r>
    </w:p>
    <w:p w:rsidR="00890C76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23" w:lineRule="auto"/>
        <w:ind w:left="1620" w:right="12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There will be sever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case exercises and discussions. They may require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some additional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preparation that will count towards your participation grade.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25" w:lineRule="auto"/>
        <w:ind w:left="1444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 not take attendance in lecture. As a matter of professional courtesy, you should inform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your 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writing coach, and group members if you will miss recitation.  </w:t>
      </w:r>
    </w:p>
    <w:p w:rsidR="00890C76" w:rsidRPr="0092590E" w:rsidRDefault="008302E1" w:rsidP="0092590E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 xml:space="preserve">Reading Checks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5" w:lineRule="auto"/>
        <w:ind w:left="1445" w:right="63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an effort to support our reading and engagement with lecture material,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semester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a variety of brief asynchronous reading checks including but not limited to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forms (quizzes, journal entries, in-class exercises). </w:t>
      </w:r>
    </w:p>
    <w:p w:rsidR="00890C76" w:rsidRPr="0092590E" w:rsidRDefault="008302E1" w:rsidP="0092590E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2590E">
        <w:rPr>
          <w:rFonts w:ascii="Times New Roman" w:hAnsi="Times New Roman" w:cs="Times New Roman"/>
          <w:sz w:val="24"/>
        </w:rPr>
        <w:t xml:space="preserve">Op-Ed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7" w:lineRule="auto"/>
        <w:ind w:left="1441" w:right="204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your major assignments for the course is the writing of an op-ed on a U.S. policy issue.  There will be a presentation on the op-ed assignment in recitation. You are encouraged to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read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and watch the asynch video on the Op-Ed Assignm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Tab in the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main Brightspace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 prior to your first recitation and come to that recitation with any questions.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For additional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guidance on writing an op-ed, see the Writing Resources folder under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“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Resources” tab on the course website. The due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 and deliverables for the op-eds are in the recitation schedule that you will receive from your TA. </w:t>
      </w:r>
    </w:p>
    <w:p w:rsidR="0092590E" w:rsidRDefault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90C76" w:rsidRPr="0092590E" w:rsidRDefault="008302E1" w:rsidP="0092590E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2590E">
        <w:rPr>
          <w:rFonts w:ascii="Times New Roman" w:hAnsi="Times New Roman" w:cs="Times New Roman"/>
          <w:sz w:val="24"/>
        </w:rPr>
        <w:lastRenderedPageBreak/>
        <w:t xml:space="preserve">Stakeholder Analysis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5" w:lineRule="auto"/>
        <w:ind w:left="1446" w:right="226" w:firstLine="4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Students are expected to submit (1) a stakeholder analysis and (2) a summary of the </w:t>
      </w:r>
      <w:r w:rsidR="0092590E">
        <w:rPr>
          <w:rFonts w:ascii="Times New Roman" w:eastAsia="Times New Roman" w:hAnsi="Times New Roman" w:cs="Times New Roman"/>
          <w:color w:val="434343"/>
          <w:sz w:val="24"/>
          <w:szCs w:val="24"/>
        </w:rPr>
        <w:t>assigned client’s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policy goals and the relevant stakeholders for an assigned topic. The assignment will be discussed in detail during lecture along with the class discussi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on of policy actors. </w:t>
      </w:r>
    </w:p>
    <w:p w:rsidR="00890C76" w:rsidRPr="0092590E" w:rsidRDefault="0092590E" w:rsidP="0092590E">
      <w:pPr>
        <w:pStyle w:val="Heading2"/>
        <w:ind w:left="1440"/>
        <w:rPr>
          <w:rFonts w:ascii="Times New Roman" w:hAnsi="Times New Roman" w:cs="Times New Roman"/>
          <w:sz w:val="32"/>
        </w:rPr>
      </w:pPr>
      <w:r w:rsidRPr="0092590E">
        <w:rPr>
          <w:rFonts w:ascii="Times New Roman" w:hAnsi="Times New Roman" w:cs="Times New Roman"/>
          <w:sz w:val="24"/>
        </w:rPr>
        <w:t xml:space="preserve">E. </w:t>
      </w:r>
      <w:r w:rsidR="008302E1" w:rsidRPr="0092590E">
        <w:rPr>
          <w:rFonts w:ascii="Times New Roman" w:hAnsi="Times New Roman" w:cs="Times New Roman"/>
          <w:sz w:val="24"/>
        </w:rPr>
        <w:t>Memoranda</w:t>
      </w:r>
      <w:r w:rsidR="008302E1" w:rsidRPr="0092590E">
        <w:rPr>
          <w:rFonts w:ascii="Times New Roman" w:hAnsi="Times New Roman" w:cs="Times New Roman"/>
          <w:sz w:val="32"/>
        </w:rPr>
        <w:t xml:space="preserve">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7" w:lineRule="auto"/>
        <w:ind w:left="1444" w:right="38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are expected to submit (2) memoranda on a policy issue during the course of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the semester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These assignments, as well as the topic restrictions, will be discussed during recitation.  The first assignment is an options memo where the student will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efine the potential responses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policy problem. The other assignment is a strategy memo where the student will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provide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for their proposed solution to the policy problem. </w:t>
      </w:r>
    </w:p>
    <w:p w:rsidR="00890C76" w:rsidRPr="0092590E" w:rsidRDefault="0092590E" w:rsidP="0092590E">
      <w:pPr>
        <w:pStyle w:val="Heading2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F. </w:t>
      </w:r>
      <w:r w:rsidR="008302E1" w:rsidRPr="0092590E">
        <w:rPr>
          <w:rFonts w:ascii="Times New Roman" w:hAnsi="Times New Roman" w:cs="Times New Roman"/>
          <w:sz w:val="24"/>
        </w:rPr>
        <w:t xml:space="preserve">Presentation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5" w:lineRule="auto"/>
        <w:ind w:left="1441" w:right="207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(1) attend a workshop on creating clie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presentations, (2) submit a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 slide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deck on the Student’s Options Memo, and (3) present the slide deck in recitation. You will receive information on signing up for the presentation workshop and for your presentation time. </w:t>
      </w:r>
    </w:p>
    <w:p w:rsidR="00890C76" w:rsidRPr="0092590E" w:rsidRDefault="008302E1" w:rsidP="0092590E">
      <w:pPr>
        <w:pStyle w:val="Heading1"/>
        <w:ind w:left="144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 xml:space="preserve">General vs. Individual Student Questions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27" w:lineRule="auto"/>
        <w:ind w:left="1441" w:right="19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very common for students to email the instructor and teaching assistants the same questions about the course. In order for Professor Barnhill and the teaching assistants to maximize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time spent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individual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and minimize time spent on repeating general questions,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please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questions regarding the course lecture, recitation, and assignments on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the discussion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under the “Discussion Board” tab on the class website. For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questions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course lectures or other topics, please email Professor Barnhill.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For individual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about the course recitation or assignments, please email your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assigned Teaching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Assistant. Professor Barnhill and the Teaching Assistants will make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effort respond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emails within 24 hours after an email is received. </w:t>
      </w:r>
    </w:p>
    <w:p w:rsidR="00890C76" w:rsidRPr="0092590E" w:rsidRDefault="008302E1" w:rsidP="0092590E">
      <w:pPr>
        <w:pStyle w:val="Heading1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 xml:space="preserve">Writing </w:t>
      </w:r>
    </w:p>
    <w:p w:rsidR="0092590E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441" w:right="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Writing is an important part of being a policy analyst and advocate. Professor Barnhill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will devote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lecture period to a writing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For some useful thoughts on how to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approach policy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writing, see Michael O’Hare’s memo to his students in the spr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2004 issue of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the Journal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Policy Analysis and Management (available in the Writing Resources folder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on Brightspace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Also see the guidelines for memo writing, sample memos, a sample of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the guidance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policy staffers at the US Department of Healt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and Human Services on how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to write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memos, and see the guidelines for writing op-eds. For further exploration of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policy communication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see Catherine F. Smith,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Writing Public Policy: A Practical Guide to Communicating in the Policy Making Process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(New Yo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rk: Oxford University Press, 2005). For an enjoyable and valuable (although not uncontested) critique of PowerPoint presentations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as disastrous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effective communication, see Edward Tufte,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Cognitive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Style of PowerPoint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[NYU Classes] and the excellent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Better Presentations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Jonathan Schwabish. </w:t>
      </w:r>
    </w:p>
    <w:p w:rsidR="00890C76" w:rsidRPr="0092590E" w:rsidRDefault="008302E1" w:rsidP="0092590E">
      <w:pPr>
        <w:pStyle w:val="Heading1"/>
        <w:ind w:left="144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 xml:space="preserve">Academic Integrity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1443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 integrity is a vital component of Wagner and the NYU community. All students enrolled in this class are required to read and abide by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Wagner’s Academic 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Wagner students have already read and signed the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Wagner Academic Oath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Plagiarism of any form will not be tolerated and students in this class are expected to report violations to Professor Barnhill.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any student in this class is unsure about what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expected of you and how to abide by the academic code, you should consult with Professor Barnhill. </w:t>
      </w:r>
    </w:p>
    <w:p w:rsidR="00890C76" w:rsidRPr="0092590E" w:rsidRDefault="008302E1" w:rsidP="0092590E">
      <w:pPr>
        <w:pStyle w:val="Heading1"/>
        <w:ind w:left="144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 xml:space="preserve">Henry and Lucy Moses Center for Students with Disabilities at NYU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28" w:lineRule="auto"/>
        <w:ind w:left="1444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 accommodations are available for students with disabilities. Please visit the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oses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Center for Students with Disabilities (CSD) website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click on the Reasonable Accommodations and How to Register tab or call or email CSD at (212-998-4980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or mosescsd@nyu.edu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for information. Students who are requesting academic accommodations are strongly advised to reach out to the Moses Center as early as possible in the semester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for assistance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0C76" w:rsidRPr="0092590E" w:rsidRDefault="008302E1" w:rsidP="0092590E">
      <w:pPr>
        <w:pStyle w:val="Heading1"/>
        <w:ind w:left="144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 xml:space="preserve">NYU’s Calendar Policy on Religious Holidays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7" w:lineRule="auto"/>
        <w:ind w:left="1441" w:right="112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NYU’s Calendar Policy on Religious Holidays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states that members of any religious group may, without penalty, absent themselves from classes when required in compliance with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their religious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obligations. Please notify your TA in advance of religious holiday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that might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coincide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assignment deadlines to schedule mutually acceptable alternatives. </w:t>
      </w:r>
    </w:p>
    <w:p w:rsidR="00890C76" w:rsidRPr="0092590E" w:rsidRDefault="008302E1" w:rsidP="0092590E">
      <w:pPr>
        <w:pStyle w:val="Heading1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t xml:space="preserve">Required Texts </w:t>
      </w:r>
    </w:p>
    <w:p w:rsidR="0092590E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444" w:right="1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 required readings are available on Brightspace unless otherwise indicated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444" w:right="1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also two suggested books that will be referenced throughout the semester: </w:t>
      </w:r>
    </w:p>
    <w:p w:rsidR="0092590E" w:rsidRDefault="0092590E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163" w:right="65" w:hanging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C76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163" w:right="65" w:hanging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Shilts, Randy.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the Band Played On: Politics, People, and the AIDS Epidemic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York: St. Martin's Press, 1987. </w:t>
      </w:r>
    </w:p>
    <w:p w:rsidR="00890C76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25" w:lineRule="auto"/>
        <w:ind w:left="2148" w:right="486" w:hanging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Walsh, Katherine Cramer.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Talking about Politics: Inf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ormal Groups and Social Identity in American Life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(Studies in Communication, Media, and Public Opinion) University of Chicago Press, 1st Edition, 2014. </w:t>
      </w:r>
    </w:p>
    <w:p w:rsidR="0092590E" w:rsidRPr="0092590E" w:rsidRDefault="0092590E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25" w:lineRule="auto"/>
        <w:ind w:left="2148" w:right="486" w:hanging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C76" w:rsidRPr="0092590E" w:rsidRDefault="008302E1" w:rsidP="0092590E">
      <w:pPr>
        <w:pStyle w:val="Heading1"/>
        <w:ind w:left="1440"/>
        <w:rPr>
          <w:rFonts w:ascii="Times New Roman" w:hAnsi="Times New Roman" w:cs="Times New Roman"/>
          <w:sz w:val="24"/>
          <w:szCs w:val="24"/>
        </w:rPr>
      </w:pPr>
      <w:r w:rsidRPr="0092590E">
        <w:rPr>
          <w:rFonts w:ascii="Times New Roman" w:hAnsi="Times New Roman" w:cs="Times New Roman"/>
          <w:sz w:val="24"/>
          <w:szCs w:val="24"/>
        </w:rPr>
        <w:lastRenderedPageBreak/>
        <w:t>Overview</w:t>
      </w:r>
      <w:r w:rsidRPr="00925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1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Power, Politics, and Policy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recitations this week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“Data-Driven Government: A New Approach”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“The Politics of the Brokenhearted”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2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Narrating Truth and Political Ethics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Recitations: Introduction to Memo Assignment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29" w:lineRule="auto"/>
        <w:ind w:left="2880" w:right="601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Selections from Joel Fleishman, Lance Liebman and Mark M. Moore. 1981.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Public Duties: The Moral Obligations of Government Officials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Cambridge:  Harvard Press.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8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Writing Workshop: What is Policy Writing?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3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24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the Band Played On: Institutions and Failures of 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Policymakers  </w:t>
      </w:r>
    </w:p>
    <w:p w:rsidR="00890C76" w:rsidRDefault="008302E1" w:rsidP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2610" w:right="2423" w:hanging="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Selections from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And the Band Played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Randy Shilts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29" w:lineRule="auto"/>
        <w:ind w:left="2908" w:right="55" w:hanging="6"/>
        <w:rPr>
          <w:rFonts w:ascii="Times New Roman" w:eastAsia="Times New Roman" w:hAnsi="Times New Roman" w:cs="Times New Roman"/>
          <w:color w:val="0066FF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Lev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Facher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: “Do public health officials need to be political activists?” STAT. </w:t>
      </w:r>
      <w:r>
        <w:rPr>
          <w:rFonts w:ascii="Times New Roman" w:eastAsia="Times New Roman" w:hAnsi="Times New Roman" w:cs="Times New Roman"/>
          <w:color w:val="0000FF"/>
          <w:u w:val="single"/>
        </w:rPr>
        <w:t>https://www.statnews.com/2021/04/30/public-health-officials-political-activists-</w:t>
      </w:r>
      <w:r>
        <w:rPr>
          <w:rFonts w:ascii="Times New Roman" w:eastAsia="Times New Roman" w:hAnsi="Times New Roman" w:cs="Times New Roman"/>
          <w:color w:val="0066FF"/>
          <w:u w:val="single"/>
        </w:rPr>
        <w:t>hiv-crisis</w:t>
      </w:r>
      <w:r>
        <w:rPr>
          <w:rFonts w:ascii="Times New Roman" w:eastAsia="Times New Roman" w:hAnsi="Times New Roman" w:cs="Times New Roman"/>
          <w:color w:val="0066FF"/>
        </w:rPr>
        <w:t xml:space="preserve">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4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Setting and Framing </w:t>
      </w:r>
    </w:p>
    <w:p w:rsidR="0092590E" w:rsidRDefault="009259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84" w:right="393" w:hanging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84" w:right="393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Frank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Luntz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“The Ten Rules of Effective Language” and “Political Case Studies”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Words That Work: It’s Not What You Say, It’s What People Hear (2007)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3" w:lineRule="auto"/>
        <w:ind w:left="2887" w:right="16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Dennis Chong and James 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Druckman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2007, “Framing Public Opinion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in Competitive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Democracies,” America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Political Science Review 101(4): 637-655.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26" w:lineRule="auto"/>
        <w:ind w:left="2883" w:right="192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Frank R. Baumgartner, Jeffrey M. Berry, Marie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Hojnacki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David C.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Kimball,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Beth L. Leech, 2009, Lobbying and Policy Change: Who Wins, Who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Loses,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Why. Chicago: University of Chicago Press, Chapter 9: “Wa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shington: </w:t>
      </w:r>
      <w:r w:rsidR="0092590E">
        <w:rPr>
          <w:rFonts w:ascii="Times New Roman" w:eastAsia="Times New Roman" w:hAnsi="Times New Roman" w:cs="Times New Roman"/>
          <w:color w:val="000000"/>
          <w:sz w:val="24"/>
          <w:szCs w:val="24"/>
        </w:rPr>
        <w:t>The Real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No-Spin Zone,” 166-189.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7"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Week 5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Guest Panel: How Washington Works (Part 1)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Guest Speaker: Data Driven State and Local Policy (Part 2)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Recitations: Client Presentations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26" w:lineRule="auto"/>
        <w:ind w:left="2884" w:right="257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“Stakeholder Analysis” from Managing Policy Reform: Concepts and Tools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for 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-Makers in Developing and Transitioning Countries - Brinkerhoff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and Crosby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(2001)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right="1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Mancur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Olson. Logic of Collective Action (1971), pp. 1-22, 132-141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6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Disruption and Social Movements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Recitations: Client Presentations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5" w:lineRule="auto"/>
        <w:ind w:left="2884" w:right="24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Watch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How to Survive a Plague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[no longer free on Netflix but available for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rent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purchase on Amazon and the DVD is available to watch for free at the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NYU Bobst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Library]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26" w:lineRule="auto"/>
        <w:ind w:left="2883"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Frances Fox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Richard Cloward, “Rule Making, Rule Breaking,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and 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in, Thomas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Janoski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 R., Alford, and Alexander M., Hicks,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eds Handbook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Political Sociology: States, Civil Societies, and Globalization.  (Cambridge: Cambridge Univers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ity Press, 2005). pp. 33-53.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23" w:lineRule="auto"/>
        <w:ind w:left="2883" w:right="543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Kingdon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W. 1995. Agendas, Alternatives, and Public Policies. 2nd Ed.  New York: Longman,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4, 9. </w:t>
      </w:r>
    </w:p>
    <w:p w:rsidR="001A52C6" w:rsidRDefault="001A52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1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7 </w:t>
      </w:r>
    </w:p>
    <w:p w:rsidR="001A52C6" w:rsidRPr="001A52C6" w:rsidRDefault="008302E1" w:rsidP="001A52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0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Simulation: Legislator, Bureaucrat, Lobbyist, and Activist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Recitations: Prompt Review of Op-Ed Assignment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1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separate readings for the simulation. Instructions will be provided in advance.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8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Writing Bills and Regulations: Policy Design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Recitations: Op-Ed Assignment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3" w:lineRule="auto"/>
        <w:ind w:left="2884" w:right="316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Weimer, David L. 1992. “Claiming Races, Broiler Contracts,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Heresthetics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Habits: Ten Concepts for Policy Design.” Policy Sciences 25: 135-159.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23" w:lineRule="auto"/>
        <w:ind w:left="2890" w:right="506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Cass R. Sunstein, Simpler: The Future of Government, (New York: Simon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&amp; Schuster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2013) selections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9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Rulemaking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Recitations: Return Op-Ed and Prompt Stakeholder Analysis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3" w:lineRule="auto"/>
        <w:ind w:left="2885" w:right="6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session on rulemaking, we will review several examples of state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and federal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proposed rules. These will be provided to you in lecture on Week 8.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26" w:lineRule="auto"/>
        <w:ind w:left="2887" w:right="605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“The Federal Rulemaking Process: An Overview” – Congressional Research Service (2013) “A Brief Overview of Rulemaking and Judicial Review” – Congressional Research Service (2017)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37" w:lineRule="auto"/>
        <w:ind w:left="2884" w:right="22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How Legislators Engage in Rulemaking Process: “Administrative Procedures </w:t>
      </w:r>
      <w:r w:rsidR="001A52C6">
        <w:rPr>
          <w:rFonts w:ascii="Times New Roman" w:eastAsia="Times New Roman" w:hAnsi="Times New Roman" w:cs="Times New Roman"/>
          <w:color w:val="000000"/>
          <w:sz w:val="23"/>
          <w:szCs w:val="23"/>
        </w:rPr>
        <w:t>as Instruments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Political Control” –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McCubbins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et al. [Assigned students]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2884"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the President Engages in Rulemaking Process: “Presidentially Directed Policy Change: The Office of Information and Regulatory Affairs as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Partisan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Moderator?”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Haeder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Yackee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(forthcoming) [Assigned students]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5" w:lineRule="auto"/>
        <w:ind w:left="2884"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Interest Groups Engage in Rulemaking Process: “Sweet-Talking the Fourth Branch: The Influence of Interest Group Comments on Federal Agency 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Rulemaking”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Yackee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(2006) [Assigned students]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10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Strategic Litigation and Judicialization of Politics 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Recitations: Stakeholder Analysis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878" w:right="664" w:firstLine="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Patel, "Strategic Litigation to Advance Public Health,"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Health and Human Rights Journal </w:t>
      </w:r>
    </w:p>
    <w:p w:rsidR="001A52C6" w:rsidRDefault="001A52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11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Making it Work: Policy Implementation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Recitations: Prompt Strategy Memo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884"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Michael Lipsky, 2010, Street-Level Bureaucracy: Dilemmas of the Individual in Public Services, New York: Russell Sage Foundation, selections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right="10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2013, “Rethinking the Street-Level Bureaucrat: Tacit and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84" w:righ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Deliberate Ways Organizations Can Learn,” in Economy in Society: Essays in Honor of Michael 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edited by Paul Osterman, Cambridge, MA: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MIT Press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113-142.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3" w:lineRule="auto"/>
        <w:ind w:left="2884" w:righ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Bernard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“Bureaucrats to the Rescue: Are Bureaucracies a Public Good?” Boston Review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Week 12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Policy Makes Politics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Recitations: Peer Review Strategy Memo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12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Donald Moynihan. “Policy Feedback and the Politics of 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Administration,” Public Administration Review (2014).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3" w:lineRule="auto"/>
        <w:ind w:left="2887" w:right="21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Rutenberg, “A Dream Undone,” New York Times Sunday Magazine, July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29, 2015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23" w:lineRule="auto"/>
        <w:ind w:left="2884" w:right="58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Rutenberg, “Nine Years Ago Republicans Favored Voting Rights.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?” New York Times Magazine August 12, 2015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13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8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Evaluation and Evidence Based-Policy in Local 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Context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Recitations: Strategy Memo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1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Ezra Klein Interview with Dan Kahan, “How politics makes us stupid,” Vox.com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9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Anna Maria Barry-Jester, “Why the Rules of the Road Aren’t Enough to 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Prevent People from Dying,” 538.com, (January 15, 2015).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3" w:lineRule="auto"/>
        <w:ind w:left="2890" w:right="573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Rebecca Goldin, 2009, “Spinning Heads and Spinning News: How a Lack of Statistical Proficiency Affects Media Coverage,” STATS. </w:t>
      </w:r>
    </w:p>
    <w:p w:rsidR="001A52C6" w:rsidRDefault="001A52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881" w:right="6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881" w:right="6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Jeffrey R. Kling, 2011, “CBO’s Use of Evidence in Analysis of Budget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and Economic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Policies,” Congressional Budget Office, Presentation at the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Annual Fall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Conference, Association of Public Policy Analysis &amp;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Management, Washington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D.C.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 14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Narrating the Public Square: Closing Reflections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Recitations: Reflection Prompts and Evaluations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3" w:lineRule="auto"/>
        <w:ind w:left="2891" w:right="539" w:firstLine="2"/>
        <w:rPr>
          <w:rFonts w:ascii="Times New Roman" w:eastAsia="Times New Roman" w:hAnsi="Times New Roman" w:cs="Times New Roman"/>
          <w:color w:val="0E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E1111"/>
          <w:sz w:val="24"/>
          <w:szCs w:val="24"/>
        </w:rPr>
        <w:t xml:space="preserve">alking about Politics: Informal Groups and Social Identity in American Life </w:t>
      </w:r>
      <w:r>
        <w:rPr>
          <w:rFonts w:ascii="Times New Roman" w:eastAsia="Times New Roman" w:hAnsi="Times New Roman" w:cs="Times New Roman"/>
          <w:color w:val="0E1111"/>
          <w:sz w:val="24"/>
          <w:szCs w:val="24"/>
        </w:rPr>
        <w:t xml:space="preserve">(Studies in Communication, Media, and Public Opinion) 1st Edition </w:t>
      </w:r>
    </w:p>
    <w:p w:rsidR="001A52C6" w:rsidRDefault="001A52C6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 w:type="page"/>
      </w:r>
    </w:p>
    <w:p w:rsidR="00890C76" w:rsidRPr="001A52C6" w:rsidRDefault="008302E1" w:rsidP="001A52C6">
      <w:pPr>
        <w:pStyle w:val="Heading1"/>
        <w:spacing w:after="0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 w:rsidRPr="001A52C6">
        <w:rPr>
          <w:rFonts w:ascii="Times New Roman" w:hAnsi="Times New Roman" w:cs="Times New Roman"/>
          <w:sz w:val="26"/>
          <w:szCs w:val="26"/>
        </w:rPr>
        <w:lastRenderedPageBreak/>
        <w:t>SYLLABUS VERIFICATION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5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Introduction to Public Policy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Fall 2022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7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Andrew Barnhill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26" w:lineRule="auto"/>
        <w:ind w:left="1443" w:right="50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received a copy of the syllabus for Introduction to Public Policy and thus I am aware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expectations and policies of the course. I also agree to complete each out-of-class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assignment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 by the announced deadline. 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Student (printed):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of Student: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</w:p>
    <w:p w:rsidR="001A52C6" w:rsidRDefault="001A52C6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 w:type="page"/>
      </w:r>
    </w:p>
    <w:p w:rsidR="00890C76" w:rsidRPr="001A52C6" w:rsidRDefault="008302E1" w:rsidP="001A52C6">
      <w:pPr>
        <w:pStyle w:val="Heading1"/>
        <w:spacing w:before="0" w:after="0"/>
        <w:ind w:left="72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A52C6">
        <w:rPr>
          <w:rFonts w:ascii="Times New Roman" w:hAnsi="Times New Roman" w:cs="Times New Roman"/>
          <w:sz w:val="26"/>
          <w:szCs w:val="26"/>
        </w:rPr>
        <w:lastRenderedPageBreak/>
        <w:t>ASSESSMENT VERIFICATION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5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Introduction to Public Policy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Fall 2022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7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Andrew Barnhill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23" w:lineRule="auto"/>
        <w:ind w:left="1443" w:right="760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completed the Introductory Module on American Government and Politics. I </w:t>
      </w:r>
      <w:r w:rsidR="001A52C6">
        <w:rPr>
          <w:rFonts w:ascii="Times New Roman" w:eastAsia="Times New Roman" w:hAnsi="Times New Roman" w:cs="Times New Roman"/>
          <w:color w:val="000000"/>
          <w:sz w:val="24"/>
          <w:szCs w:val="24"/>
        </w:rPr>
        <w:t>agree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raise any questions on the introductory assessment to Professor Barnhill.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Student (printed):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of Student: </w:t>
      </w:r>
    </w:p>
    <w:p w:rsidR="00890C76" w:rsidRDefault="0083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1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bookmarkStart w:id="0" w:name="_GoBack"/>
      <w:bookmarkEnd w:id="0"/>
    </w:p>
    <w:sectPr w:rsidR="00890C76" w:rsidSect="0092590E">
      <w:footerReference w:type="default" r:id="rId8"/>
      <w:pgSz w:w="12240" w:h="15840"/>
      <w:pgMar w:top="1354" w:right="1382" w:bottom="1296" w:left="24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E1" w:rsidRDefault="008302E1" w:rsidP="001A52C6">
      <w:pPr>
        <w:spacing w:line="240" w:lineRule="auto"/>
      </w:pPr>
      <w:r>
        <w:separator/>
      </w:r>
    </w:p>
  </w:endnote>
  <w:endnote w:type="continuationSeparator" w:id="0">
    <w:p w:rsidR="008302E1" w:rsidRDefault="008302E1" w:rsidP="001A5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9919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52C6" w:rsidRPr="001A52C6" w:rsidRDefault="001A52C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52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52C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52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A52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A52C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52C6" w:rsidRDefault="001A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E1" w:rsidRDefault="008302E1" w:rsidP="001A52C6">
      <w:pPr>
        <w:spacing w:line="240" w:lineRule="auto"/>
      </w:pPr>
      <w:r>
        <w:separator/>
      </w:r>
    </w:p>
  </w:footnote>
  <w:footnote w:type="continuationSeparator" w:id="0">
    <w:p w:rsidR="008302E1" w:rsidRDefault="008302E1" w:rsidP="001A5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6229"/>
    <w:multiLevelType w:val="hybridMultilevel"/>
    <w:tmpl w:val="FEB899DE"/>
    <w:lvl w:ilvl="0" w:tplc="4E581632">
      <w:start w:val="1"/>
      <w:numFmt w:val="upperLetter"/>
      <w:lvlText w:val="%1."/>
      <w:lvlJc w:val="left"/>
      <w:pPr>
        <w:ind w:left="1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" w15:restartNumberingAfterBreak="0">
    <w:nsid w:val="50406893"/>
    <w:multiLevelType w:val="hybridMultilevel"/>
    <w:tmpl w:val="993E7572"/>
    <w:lvl w:ilvl="0" w:tplc="F9CCD3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76"/>
    <w:rsid w:val="001A52C6"/>
    <w:rsid w:val="0025058D"/>
    <w:rsid w:val="008302E1"/>
    <w:rsid w:val="00890C76"/>
    <w:rsid w:val="0092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59CB"/>
  <w15:docId w15:val="{74C7C861-EC62-4495-9503-F545C8F5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25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2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C6"/>
  </w:style>
  <w:style w:type="paragraph" w:styleId="Footer">
    <w:name w:val="footer"/>
    <w:basedOn w:val="Normal"/>
    <w:link w:val="FooterChar"/>
    <w:uiPriority w:val="99"/>
    <w:unhideWhenUsed/>
    <w:rsid w:val="001A52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Maurer</dc:creator>
  <cp:lastModifiedBy>Amanda Maurer</cp:lastModifiedBy>
  <cp:revision>2</cp:revision>
  <dcterms:created xsi:type="dcterms:W3CDTF">2022-10-28T19:01:00Z</dcterms:created>
  <dcterms:modified xsi:type="dcterms:W3CDTF">2022-10-28T19:01:00Z</dcterms:modified>
</cp:coreProperties>
</file>