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43C9C" w:rsidRDefault="00013188">
      <w:pPr>
        <w:spacing w:before="20"/>
        <w:ind w:left="1080" w:right="3320"/>
        <w:jc w:val="center"/>
        <w:rPr>
          <w:rFonts w:ascii="Lato" w:eastAsia="Lato" w:hAnsi="Lato" w:cs="Lato"/>
          <w:b/>
          <w:sz w:val="32"/>
          <w:szCs w:val="32"/>
        </w:rPr>
      </w:pPr>
      <w:r>
        <w:rPr>
          <w:rFonts w:ascii="Lato" w:eastAsia="Lato" w:hAnsi="Lato" w:cs="Lato"/>
          <w:noProof/>
          <w:sz w:val="24"/>
          <w:szCs w:val="24"/>
        </w:rPr>
        <w:drawing>
          <wp:inline distT="114300" distB="114300" distL="114300" distR="114300">
            <wp:extent cx="4343400" cy="485775"/>
            <wp:effectExtent l="0" t="0" r="0" b="0"/>
            <wp:docPr id="1" name="image1.png" descr="NYU Robert F. Wagner Graduate School of Public Service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343400" cy="485775"/>
                    </a:xfrm>
                    <a:prstGeom prst="rect">
                      <a:avLst/>
                    </a:prstGeom>
                    <a:ln/>
                  </pic:spPr>
                </pic:pic>
              </a:graphicData>
            </a:graphic>
          </wp:inline>
        </w:drawing>
      </w:r>
    </w:p>
    <w:p w:rsidR="00043C9C" w:rsidRDefault="00043C9C">
      <w:pPr>
        <w:jc w:val="center"/>
        <w:rPr>
          <w:rFonts w:ascii="Lato" w:eastAsia="Lato" w:hAnsi="Lato" w:cs="Lato"/>
          <w:b/>
          <w:sz w:val="32"/>
          <w:szCs w:val="32"/>
        </w:rPr>
      </w:pPr>
    </w:p>
    <w:p w:rsidR="00043C9C" w:rsidRDefault="00013188" w:rsidP="00E05F0D">
      <w:pPr>
        <w:pStyle w:val="Title"/>
        <w:jc w:val="center"/>
      </w:pPr>
      <w:r>
        <w:t>PADM-GP 2112</w:t>
      </w:r>
    </w:p>
    <w:p w:rsidR="00043C9C" w:rsidRDefault="00013188" w:rsidP="00E05F0D">
      <w:pPr>
        <w:pStyle w:val="Title"/>
        <w:jc w:val="center"/>
        <w:rPr>
          <w:sz w:val="36"/>
          <w:szCs w:val="36"/>
        </w:rPr>
      </w:pPr>
      <w:r>
        <w:rPr>
          <w:highlight w:val="white"/>
        </w:rPr>
        <w:t>Gender in the Workplace</w:t>
      </w:r>
    </w:p>
    <w:p w:rsidR="00043C9C" w:rsidRDefault="00013188" w:rsidP="00E05F0D">
      <w:pPr>
        <w:pStyle w:val="Title"/>
        <w:jc w:val="center"/>
      </w:pPr>
      <w:r>
        <w:t>Spring 2024</w:t>
      </w:r>
    </w:p>
    <w:p w:rsidR="00043C9C" w:rsidRDefault="00013188" w:rsidP="00E05F0D">
      <w:pPr>
        <w:pStyle w:val="Heading1"/>
      </w:pPr>
      <w:r>
        <w:rPr>
          <w:rFonts w:ascii="Lato" w:eastAsia="Lato" w:hAnsi="Lato" w:cs="Lato"/>
        </w:rPr>
        <w:t xml:space="preserve"> </w:t>
      </w:r>
      <w:r>
        <w:t>Faculty Information</w:t>
      </w:r>
    </w:p>
    <w:p w:rsidR="00043C9C" w:rsidRDefault="00013188">
      <w:pPr>
        <w:rPr>
          <w:rFonts w:ascii="Lato" w:eastAsia="Lato" w:hAnsi="Lato" w:cs="Lato"/>
        </w:rPr>
      </w:pPr>
      <w:r>
        <w:rPr>
          <w:rFonts w:ascii="Lato" w:eastAsia="Lato" w:hAnsi="Lato" w:cs="Lato"/>
        </w:rPr>
        <w:t>P</w:t>
      </w:r>
      <w:r>
        <w:rPr>
          <w:rFonts w:ascii="Lato" w:eastAsia="Lato" w:hAnsi="Lato" w:cs="Lato"/>
        </w:rPr>
        <w:t>rofessor Judy Pryor-Ramirez (“Professor J”)</w:t>
      </w:r>
    </w:p>
    <w:p w:rsidR="00043C9C" w:rsidRDefault="00013188">
      <w:pPr>
        <w:rPr>
          <w:rFonts w:ascii="Lato" w:eastAsia="Lato" w:hAnsi="Lato" w:cs="Lato"/>
        </w:rPr>
      </w:pPr>
      <w:r>
        <w:rPr>
          <w:rFonts w:ascii="Lato" w:eastAsia="Lato" w:hAnsi="Lato" w:cs="Lato"/>
        </w:rPr>
        <w:t xml:space="preserve">Email: </w:t>
      </w:r>
      <w:hyperlink r:id="rId8">
        <w:r>
          <w:rPr>
            <w:rFonts w:ascii="Lato" w:eastAsia="Lato" w:hAnsi="Lato" w:cs="Lato"/>
            <w:color w:val="1155CC"/>
            <w:u w:val="single"/>
          </w:rPr>
          <w:t>jpramirez@nyu.edu</w:t>
        </w:r>
      </w:hyperlink>
      <w:r>
        <w:rPr>
          <w:rFonts w:ascii="Lato" w:eastAsia="Lato" w:hAnsi="Lato" w:cs="Lato"/>
        </w:rPr>
        <w:t xml:space="preserve"> </w:t>
      </w:r>
    </w:p>
    <w:p w:rsidR="00043C9C" w:rsidRDefault="00013188">
      <w:pPr>
        <w:rPr>
          <w:rFonts w:ascii="Lato" w:eastAsia="Lato" w:hAnsi="Lato" w:cs="Lato"/>
          <w:color w:val="0000FF"/>
          <w:u w:val="single"/>
        </w:rPr>
      </w:pPr>
      <w:r>
        <w:rPr>
          <w:rFonts w:ascii="Lato" w:eastAsia="Lato" w:hAnsi="Lato" w:cs="Lato"/>
        </w:rPr>
        <w:t>Student Office hours: By appointment only</w:t>
      </w:r>
    </w:p>
    <w:p w:rsidR="00043C9C" w:rsidRDefault="00013188" w:rsidP="00E05F0D">
      <w:pPr>
        <w:pStyle w:val="Heading1"/>
      </w:pPr>
      <w:r>
        <w:t xml:space="preserve">Course Information </w:t>
      </w:r>
    </w:p>
    <w:p w:rsidR="00043C9C" w:rsidRDefault="00013188">
      <w:pPr>
        <w:rPr>
          <w:rFonts w:ascii="Lato" w:eastAsia="Lato" w:hAnsi="Lato" w:cs="Lato"/>
        </w:rPr>
      </w:pPr>
      <w:r>
        <w:rPr>
          <w:rFonts w:ascii="Lato" w:eastAsia="Lato" w:hAnsi="Lato" w:cs="Lato"/>
        </w:rPr>
        <w:t>Time: Wednesdays, 4:55 - 6:35pm</w:t>
      </w:r>
    </w:p>
    <w:p w:rsidR="00043C9C" w:rsidRDefault="00013188">
      <w:pPr>
        <w:rPr>
          <w:rFonts w:ascii="Lato" w:eastAsia="Lato" w:hAnsi="Lato" w:cs="Lato"/>
        </w:rPr>
      </w:pPr>
      <w:r>
        <w:rPr>
          <w:rFonts w:ascii="Lato" w:eastAsia="Lato" w:hAnsi="Lato" w:cs="Lato"/>
        </w:rPr>
        <w:t xml:space="preserve">Location: </w:t>
      </w:r>
      <w:r>
        <w:rPr>
          <w:rFonts w:ascii="Lato" w:eastAsia="Lato" w:hAnsi="Lato" w:cs="Lato"/>
          <w:highlight w:val="white"/>
        </w:rPr>
        <w:t>31 Washington Place (Silver Center), Room 508</w:t>
      </w:r>
    </w:p>
    <w:p w:rsidR="00043C9C" w:rsidRDefault="00013188" w:rsidP="00E05F0D">
      <w:pPr>
        <w:pStyle w:val="Heading1"/>
      </w:pPr>
      <w:r>
        <w:t>Description</w:t>
      </w:r>
    </w:p>
    <w:p w:rsidR="00043C9C" w:rsidRDefault="00013188">
      <w:pPr>
        <w:rPr>
          <w:rFonts w:ascii="Lato" w:eastAsia="Lato" w:hAnsi="Lato" w:cs="Lato"/>
        </w:rPr>
      </w:pPr>
      <w:r>
        <w:rPr>
          <w:rFonts w:ascii="Lato" w:eastAsia="Lato" w:hAnsi="Lato" w:cs="Lato"/>
        </w:rPr>
        <w:t>Gender operates at all levels of our social world and is deeply embedded in how work is organized, experienced, and rewarded (or not). This course provides</w:t>
      </w:r>
      <w:r>
        <w:rPr>
          <w:rFonts w:ascii="Lato" w:eastAsia="Lato" w:hAnsi="Lato" w:cs="Lato"/>
        </w:rPr>
        <w:t xml:space="preserve"> an overview of classical theory and contemporary research on gender and the workplace. In examining this topic, we will pay close attention to the different ways that scholars conceive of gender and their intersections and explore how these different conc</w:t>
      </w:r>
      <w:r>
        <w:rPr>
          <w:rFonts w:ascii="Lato" w:eastAsia="Lato" w:hAnsi="Lato" w:cs="Lato"/>
        </w:rPr>
        <w:t xml:space="preserve">eptions shape our understanding of gender in the workplace. The course aims to be fairly broad-based in its coverage of gender and work in order to cover various domains. </w:t>
      </w:r>
    </w:p>
    <w:p w:rsidR="00043C9C" w:rsidRDefault="00013188" w:rsidP="00E05F0D">
      <w:pPr>
        <w:pStyle w:val="Heading1"/>
      </w:pPr>
      <w:r>
        <w:t>Course Design &amp; Pedagogy</w:t>
      </w:r>
    </w:p>
    <w:p w:rsidR="00043C9C" w:rsidRDefault="00013188">
      <w:pPr>
        <w:rPr>
          <w:rFonts w:ascii="Lato" w:eastAsia="Lato" w:hAnsi="Lato" w:cs="Lato"/>
        </w:rPr>
      </w:pPr>
      <w:r>
        <w:rPr>
          <w:rFonts w:ascii="Lato" w:eastAsia="Lato" w:hAnsi="Lato" w:cs="Lato"/>
        </w:rPr>
        <w:t>The course will combine conceptual and experiential approa</w:t>
      </w:r>
      <w:r>
        <w:rPr>
          <w:rFonts w:ascii="Lato" w:eastAsia="Lato" w:hAnsi="Lato" w:cs="Lato"/>
        </w:rPr>
        <w:t>ches to exploring gender in the workplace. Readings will introduce key concepts and useful ways of thinking about a given week’s topic. In-class discussions, assignments, guest lectures, and site visits will provide opportunities to apply theories, concept</w:t>
      </w:r>
      <w:r>
        <w:rPr>
          <w:rFonts w:ascii="Lato" w:eastAsia="Lato" w:hAnsi="Lato" w:cs="Lato"/>
        </w:rPr>
        <w:t>s, and research to particular situations to hone your analytical skills. The written assignments require you to consolidate your insight and practice your analytical and communication skills.</w:t>
      </w:r>
    </w:p>
    <w:p w:rsidR="00043C9C" w:rsidRDefault="00013188" w:rsidP="00E05F0D">
      <w:pPr>
        <w:pStyle w:val="Heading1"/>
      </w:pPr>
      <w:r>
        <w:lastRenderedPageBreak/>
        <w:t>Learning Objectives</w:t>
      </w:r>
    </w:p>
    <w:p w:rsidR="00043C9C" w:rsidRDefault="00013188">
      <w:pPr>
        <w:rPr>
          <w:rFonts w:ascii="Lato" w:eastAsia="Lato" w:hAnsi="Lato" w:cs="Lato"/>
        </w:rPr>
      </w:pPr>
      <w:r>
        <w:rPr>
          <w:rFonts w:ascii="Lato" w:eastAsia="Lato" w:hAnsi="Lato" w:cs="Lato"/>
        </w:rPr>
        <w:t>There are three learning objectives that cu</w:t>
      </w:r>
      <w:r>
        <w:rPr>
          <w:rFonts w:ascii="Lato" w:eastAsia="Lato" w:hAnsi="Lato" w:cs="Lato"/>
        </w:rPr>
        <w:t>t across each class. By the end of this class, students will be able to:</w:t>
      </w:r>
    </w:p>
    <w:p w:rsidR="00043C9C" w:rsidRDefault="00013188">
      <w:pPr>
        <w:numPr>
          <w:ilvl w:val="0"/>
          <w:numId w:val="3"/>
        </w:numPr>
        <w:rPr>
          <w:rFonts w:ascii="Lato" w:eastAsia="Lato" w:hAnsi="Lato" w:cs="Lato"/>
        </w:rPr>
      </w:pPr>
      <w:r>
        <w:rPr>
          <w:rFonts w:ascii="Lato" w:eastAsia="Lato" w:hAnsi="Lato" w:cs="Lato"/>
        </w:rPr>
        <w:t xml:space="preserve">Describe and apply an intersectionality perspective related to workplace issues through the use of the self-reflexive research method, autoethnography </w:t>
      </w:r>
    </w:p>
    <w:p w:rsidR="00043C9C" w:rsidRDefault="00013188">
      <w:pPr>
        <w:numPr>
          <w:ilvl w:val="0"/>
          <w:numId w:val="3"/>
        </w:numPr>
        <w:rPr>
          <w:rFonts w:ascii="Lato" w:eastAsia="Lato" w:hAnsi="Lato" w:cs="Lato"/>
        </w:rPr>
      </w:pPr>
      <w:r>
        <w:rPr>
          <w:rFonts w:ascii="Lato" w:eastAsia="Lato" w:hAnsi="Lato" w:cs="Lato"/>
        </w:rPr>
        <w:t>Demonstrate how gender influenc</w:t>
      </w:r>
      <w:r>
        <w:rPr>
          <w:rFonts w:ascii="Lato" w:eastAsia="Lato" w:hAnsi="Lato" w:cs="Lato"/>
        </w:rPr>
        <w:t>es work and how work is rewarded or not through the application of theories and frameworks from course readings and lectures</w:t>
      </w:r>
    </w:p>
    <w:p w:rsidR="00043C9C" w:rsidRDefault="00013188">
      <w:pPr>
        <w:numPr>
          <w:ilvl w:val="0"/>
          <w:numId w:val="3"/>
        </w:numPr>
        <w:rPr>
          <w:rFonts w:ascii="Lato" w:eastAsia="Lato" w:hAnsi="Lato" w:cs="Lato"/>
        </w:rPr>
      </w:pPr>
      <w:r>
        <w:rPr>
          <w:rFonts w:ascii="Lato" w:eastAsia="Lato" w:hAnsi="Lato" w:cs="Lato"/>
        </w:rPr>
        <w:t>Identify and assess a gender-related policy issue in the workplace and create an appropriate advocacy solution through the analysis</w:t>
      </w:r>
      <w:r>
        <w:rPr>
          <w:rFonts w:ascii="Lato" w:eastAsia="Lato" w:hAnsi="Lato" w:cs="Lato"/>
        </w:rPr>
        <w:t xml:space="preserve"> and application of quantitative and qualitative empirical evidence or policy research </w:t>
      </w:r>
    </w:p>
    <w:p w:rsidR="00043C9C" w:rsidRDefault="00013188" w:rsidP="00E05F0D">
      <w:pPr>
        <w:pStyle w:val="Heading1"/>
      </w:pPr>
      <w:r>
        <w:t>Course Material</w:t>
      </w:r>
    </w:p>
    <w:p w:rsidR="00E05F0D" w:rsidRDefault="00013188" w:rsidP="00E05F0D">
      <w:pPr>
        <w:numPr>
          <w:ilvl w:val="0"/>
          <w:numId w:val="4"/>
        </w:numPr>
        <w:rPr>
          <w:rFonts w:ascii="Lato" w:eastAsia="Lato" w:hAnsi="Lato" w:cs="Lato"/>
        </w:rPr>
      </w:pPr>
      <w:r>
        <w:rPr>
          <w:rFonts w:ascii="Lato" w:eastAsia="Lato" w:hAnsi="Lato" w:cs="Lato"/>
        </w:rPr>
        <w:t xml:space="preserve">Brightspace Page: You will find the course syllabus, assignments, readings, and slides on our course </w:t>
      </w:r>
      <w:proofErr w:type="spellStart"/>
      <w:r>
        <w:rPr>
          <w:rFonts w:ascii="Lato" w:eastAsia="Lato" w:hAnsi="Lato" w:cs="Lato"/>
        </w:rPr>
        <w:t>Brighspace</w:t>
      </w:r>
      <w:proofErr w:type="spellEnd"/>
      <w:r>
        <w:rPr>
          <w:rFonts w:ascii="Lato" w:eastAsia="Lato" w:hAnsi="Lato" w:cs="Lato"/>
        </w:rPr>
        <w:t>.</w:t>
      </w:r>
      <w:r w:rsidR="00E05F0D">
        <w:rPr>
          <w:rFonts w:ascii="Lato" w:eastAsia="Lato" w:hAnsi="Lato" w:cs="Lato"/>
        </w:rPr>
        <w:t xml:space="preserve"> </w:t>
      </w:r>
    </w:p>
    <w:p w:rsidR="00E05F0D" w:rsidRPr="00E05F0D" w:rsidRDefault="00013188" w:rsidP="00E05F0D">
      <w:pPr>
        <w:numPr>
          <w:ilvl w:val="0"/>
          <w:numId w:val="4"/>
        </w:numPr>
        <w:rPr>
          <w:rFonts w:ascii="Lato" w:eastAsia="Lato" w:hAnsi="Lato" w:cs="Lato"/>
          <w:i/>
        </w:rPr>
      </w:pPr>
      <w:r>
        <w:rPr>
          <w:rFonts w:ascii="Lato" w:eastAsia="Lato" w:hAnsi="Lato" w:cs="Lato"/>
        </w:rPr>
        <w:t>Course Material: To keep costs down, I am providing you with all of the readings that copyrights allow me to post in Brightspace.</w:t>
      </w:r>
      <w:r w:rsidR="00E05F0D">
        <w:rPr>
          <w:rFonts w:ascii="Lato" w:eastAsia="Lato" w:hAnsi="Lato" w:cs="Lato"/>
          <w:b/>
        </w:rPr>
        <w:t xml:space="preserve"> </w:t>
      </w:r>
    </w:p>
    <w:p w:rsidR="00043C9C" w:rsidRPr="00E05F0D" w:rsidRDefault="00013188" w:rsidP="00E05F0D">
      <w:pPr>
        <w:pStyle w:val="Heading1"/>
      </w:pPr>
      <w:r w:rsidRPr="00E05F0D">
        <w:t xml:space="preserve">Course Schedule </w:t>
      </w:r>
      <w:r w:rsidRPr="00E05F0D">
        <w:rPr>
          <w:b w:val="0"/>
          <w:i/>
        </w:rPr>
        <w:t>(see Brightspace for links to readings)</w:t>
      </w:r>
    </w:p>
    <w:p w:rsidR="00043C9C" w:rsidRDefault="00043C9C">
      <w:pPr>
        <w:rPr>
          <w:rFonts w:ascii="Lato" w:eastAsia="Lato" w:hAnsi="Lato" w:cs="Lato"/>
          <w:b/>
        </w:rPr>
      </w:pPr>
    </w:p>
    <w:tbl>
      <w:tblPr>
        <w:tblStyle w:val="a"/>
        <w:tblW w:w="9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35"/>
        <w:gridCol w:w="3525"/>
        <w:gridCol w:w="4995"/>
      </w:tblGrid>
      <w:tr w:rsidR="00043C9C" w:rsidTr="00E05F0D">
        <w:tc>
          <w:tcPr>
            <w:tcW w:w="1035" w:type="dxa"/>
            <w:shd w:val="clear" w:color="auto" w:fill="000000"/>
            <w:tcMar>
              <w:top w:w="100" w:type="dxa"/>
              <w:left w:w="100" w:type="dxa"/>
              <w:bottom w:w="100" w:type="dxa"/>
              <w:right w:w="100" w:type="dxa"/>
            </w:tcMar>
          </w:tcPr>
          <w:p w:rsidR="00043C9C" w:rsidRDefault="00013188">
            <w:pPr>
              <w:widowControl w:val="0"/>
              <w:spacing w:line="240" w:lineRule="auto"/>
              <w:jc w:val="center"/>
              <w:rPr>
                <w:rFonts w:ascii="Lato" w:eastAsia="Lato" w:hAnsi="Lato" w:cs="Lato"/>
                <w:b/>
                <w:color w:val="FFFFFF"/>
              </w:rPr>
            </w:pPr>
            <w:r>
              <w:rPr>
                <w:rFonts w:ascii="Lato" w:eastAsia="Lato" w:hAnsi="Lato" w:cs="Lato"/>
                <w:b/>
                <w:color w:val="FFFFFF"/>
              </w:rPr>
              <w:t>Date</w:t>
            </w:r>
          </w:p>
        </w:tc>
        <w:tc>
          <w:tcPr>
            <w:tcW w:w="3525" w:type="dxa"/>
            <w:shd w:val="clear" w:color="auto" w:fill="000000"/>
            <w:tcMar>
              <w:top w:w="100" w:type="dxa"/>
              <w:left w:w="100" w:type="dxa"/>
              <w:bottom w:w="100" w:type="dxa"/>
              <w:right w:w="100" w:type="dxa"/>
            </w:tcMar>
          </w:tcPr>
          <w:p w:rsidR="00043C9C" w:rsidRDefault="00013188">
            <w:pPr>
              <w:widowControl w:val="0"/>
              <w:spacing w:line="240" w:lineRule="auto"/>
              <w:jc w:val="center"/>
              <w:rPr>
                <w:rFonts w:ascii="Lato" w:eastAsia="Lato" w:hAnsi="Lato" w:cs="Lato"/>
                <w:b/>
                <w:color w:val="FFFFFF"/>
              </w:rPr>
            </w:pPr>
            <w:r>
              <w:rPr>
                <w:rFonts w:ascii="Lato" w:eastAsia="Lato" w:hAnsi="Lato" w:cs="Lato"/>
                <w:b/>
                <w:color w:val="FFFFFF"/>
              </w:rPr>
              <w:t>Topic</w:t>
            </w:r>
          </w:p>
        </w:tc>
        <w:tc>
          <w:tcPr>
            <w:tcW w:w="4995" w:type="dxa"/>
            <w:shd w:val="clear" w:color="auto" w:fill="000000"/>
            <w:tcMar>
              <w:top w:w="100" w:type="dxa"/>
              <w:left w:w="100" w:type="dxa"/>
              <w:bottom w:w="100" w:type="dxa"/>
              <w:right w:w="100" w:type="dxa"/>
            </w:tcMar>
          </w:tcPr>
          <w:p w:rsidR="00043C9C" w:rsidRDefault="00013188">
            <w:pPr>
              <w:widowControl w:val="0"/>
              <w:spacing w:line="240" w:lineRule="auto"/>
              <w:jc w:val="center"/>
              <w:rPr>
                <w:rFonts w:ascii="Lato" w:eastAsia="Lato" w:hAnsi="Lato" w:cs="Lato"/>
                <w:b/>
                <w:color w:val="FFFFFF"/>
              </w:rPr>
            </w:pPr>
            <w:r>
              <w:rPr>
                <w:rFonts w:ascii="Lato" w:eastAsia="Lato" w:hAnsi="Lato" w:cs="Lato"/>
                <w:b/>
                <w:color w:val="FFFFFF"/>
              </w:rPr>
              <w:t>Readings</w:t>
            </w:r>
          </w:p>
        </w:tc>
      </w:tr>
      <w:tr w:rsidR="00043C9C" w:rsidTr="00E05F0D">
        <w:tc>
          <w:tcPr>
            <w:tcW w:w="1035" w:type="dxa"/>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rPr>
            </w:pPr>
            <w:r>
              <w:rPr>
                <w:rFonts w:ascii="Lato" w:eastAsia="Lato" w:hAnsi="Lato" w:cs="Lato"/>
              </w:rPr>
              <w:t>1/24</w:t>
            </w:r>
          </w:p>
        </w:tc>
        <w:tc>
          <w:tcPr>
            <w:tcW w:w="3525" w:type="dxa"/>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rPr>
            </w:pPr>
            <w:r>
              <w:rPr>
                <w:rFonts w:ascii="Lato" w:eastAsia="Lato" w:hAnsi="Lato" w:cs="Lato"/>
              </w:rPr>
              <w:t>Intro to Gender &amp; the Workplace</w:t>
            </w:r>
          </w:p>
        </w:tc>
        <w:tc>
          <w:tcPr>
            <w:tcW w:w="4995" w:type="dxa"/>
            <w:shd w:val="clear" w:color="auto" w:fill="auto"/>
            <w:tcMar>
              <w:top w:w="100" w:type="dxa"/>
              <w:left w:w="100" w:type="dxa"/>
              <w:bottom w:w="100" w:type="dxa"/>
              <w:right w:w="100" w:type="dxa"/>
            </w:tcMar>
          </w:tcPr>
          <w:p w:rsidR="00043C9C" w:rsidRDefault="00013188">
            <w:pPr>
              <w:spacing w:line="240" w:lineRule="auto"/>
              <w:rPr>
                <w:rFonts w:ascii="Lato" w:eastAsia="Lato" w:hAnsi="Lato" w:cs="Lato"/>
              </w:rPr>
            </w:pPr>
            <w:r>
              <w:rPr>
                <w:rFonts w:ascii="Lato" w:eastAsia="Lato" w:hAnsi="Lato" w:cs="Lato"/>
              </w:rPr>
              <w:t xml:space="preserve">Spade, </w:t>
            </w:r>
            <w:hyperlink r:id="rId9">
              <w:r>
                <w:rPr>
                  <w:rFonts w:ascii="Lato" w:eastAsia="Lato" w:hAnsi="Lato" w:cs="Lato"/>
                  <w:color w:val="1155CC"/>
                  <w:u w:val="single"/>
                </w:rPr>
                <w:t xml:space="preserve">“Administrating Gender” </w:t>
              </w:r>
            </w:hyperlink>
          </w:p>
        </w:tc>
      </w:tr>
      <w:tr w:rsidR="00043C9C" w:rsidTr="00E05F0D">
        <w:tc>
          <w:tcPr>
            <w:tcW w:w="1035" w:type="dxa"/>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rPr>
            </w:pPr>
            <w:r>
              <w:rPr>
                <w:rFonts w:ascii="Lato" w:eastAsia="Lato" w:hAnsi="Lato" w:cs="Lato"/>
              </w:rPr>
              <w:t>1/31</w:t>
            </w:r>
          </w:p>
        </w:tc>
        <w:tc>
          <w:tcPr>
            <w:tcW w:w="3525" w:type="dxa"/>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rPr>
            </w:pPr>
            <w:r>
              <w:rPr>
                <w:rFonts w:ascii="Lato" w:eastAsia="Lato" w:hAnsi="Lato" w:cs="Lato"/>
              </w:rPr>
              <w:t xml:space="preserve">NO </w:t>
            </w:r>
            <w:proofErr w:type="gramStart"/>
            <w:r>
              <w:rPr>
                <w:rFonts w:ascii="Lato" w:eastAsia="Lato" w:hAnsi="Lato" w:cs="Lato"/>
              </w:rPr>
              <w:t>CLASS  -</w:t>
            </w:r>
            <w:proofErr w:type="gramEnd"/>
            <w:r>
              <w:rPr>
                <w:rFonts w:ascii="Lato" w:eastAsia="Lato" w:hAnsi="Lato" w:cs="Lato"/>
              </w:rPr>
              <w:t xml:space="preserve"> PROF. J SICK</w:t>
            </w:r>
          </w:p>
        </w:tc>
        <w:tc>
          <w:tcPr>
            <w:tcW w:w="4995" w:type="dxa"/>
            <w:shd w:val="clear" w:color="auto" w:fill="auto"/>
            <w:tcMar>
              <w:top w:w="100" w:type="dxa"/>
              <w:left w:w="100" w:type="dxa"/>
              <w:bottom w:w="100" w:type="dxa"/>
              <w:right w:w="100" w:type="dxa"/>
            </w:tcMar>
          </w:tcPr>
          <w:p w:rsidR="00043C9C" w:rsidRDefault="00013188">
            <w:pPr>
              <w:spacing w:line="240" w:lineRule="auto"/>
              <w:rPr>
                <w:rFonts w:ascii="Lato" w:eastAsia="Lato" w:hAnsi="Lato" w:cs="Lato"/>
              </w:rPr>
            </w:pPr>
            <w:r>
              <w:rPr>
                <w:rFonts w:ascii="Lato" w:eastAsia="Lato" w:hAnsi="Lato" w:cs="Lato"/>
              </w:rPr>
              <w:t>NO READINGS DUE</w:t>
            </w:r>
          </w:p>
        </w:tc>
      </w:tr>
      <w:tr w:rsidR="00043C9C" w:rsidTr="00E05F0D">
        <w:trPr>
          <w:trHeight w:val="420"/>
        </w:trPr>
        <w:tc>
          <w:tcPr>
            <w:tcW w:w="9555" w:type="dxa"/>
            <w:gridSpan w:val="3"/>
            <w:shd w:val="clear" w:color="auto" w:fill="000000"/>
            <w:tcMar>
              <w:top w:w="100" w:type="dxa"/>
              <w:left w:w="100" w:type="dxa"/>
              <w:bottom w:w="100" w:type="dxa"/>
              <w:right w:w="100" w:type="dxa"/>
            </w:tcMar>
          </w:tcPr>
          <w:p w:rsidR="00043C9C" w:rsidRDefault="00013188">
            <w:pPr>
              <w:widowControl w:val="0"/>
              <w:spacing w:line="240" w:lineRule="auto"/>
              <w:jc w:val="center"/>
              <w:rPr>
                <w:rFonts w:ascii="Lato" w:eastAsia="Lato" w:hAnsi="Lato" w:cs="Lato"/>
                <w:b/>
                <w:color w:val="FFFFFF"/>
              </w:rPr>
            </w:pPr>
            <w:r>
              <w:rPr>
                <w:rFonts w:ascii="Lato" w:eastAsia="Lato" w:hAnsi="Lato" w:cs="Lato"/>
                <w:b/>
                <w:color w:val="FFFFFF"/>
              </w:rPr>
              <w:t>Unit 1: Mapping the Intersections of Gender in the Workplace</w:t>
            </w:r>
          </w:p>
        </w:tc>
      </w:tr>
      <w:tr w:rsidR="00043C9C" w:rsidTr="00E05F0D">
        <w:tc>
          <w:tcPr>
            <w:tcW w:w="1035" w:type="dxa"/>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rPr>
            </w:pPr>
            <w:r>
              <w:rPr>
                <w:rFonts w:ascii="Lato" w:eastAsia="Lato" w:hAnsi="Lato" w:cs="Lato"/>
              </w:rPr>
              <w:t>2/7</w:t>
            </w:r>
          </w:p>
        </w:tc>
        <w:tc>
          <w:tcPr>
            <w:tcW w:w="3525" w:type="dxa"/>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rPr>
            </w:pPr>
            <w:r>
              <w:rPr>
                <w:rFonts w:ascii="Lato" w:eastAsia="Lato" w:hAnsi="Lato" w:cs="Lato"/>
              </w:rPr>
              <w:t>Historical View on Gender and the Workplace</w:t>
            </w:r>
          </w:p>
          <w:p w:rsidR="00043C9C" w:rsidRDefault="00043C9C">
            <w:pPr>
              <w:widowControl w:val="0"/>
              <w:spacing w:line="240" w:lineRule="auto"/>
              <w:rPr>
                <w:rFonts w:ascii="Lato" w:eastAsia="Lato" w:hAnsi="Lato" w:cs="Lato"/>
              </w:rPr>
            </w:pPr>
          </w:p>
        </w:tc>
        <w:tc>
          <w:tcPr>
            <w:tcW w:w="4995" w:type="dxa"/>
            <w:shd w:val="clear" w:color="auto" w:fill="auto"/>
            <w:tcMar>
              <w:top w:w="100" w:type="dxa"/>
              <w:left w:w="100" w:type="dxa"/>
              <w:bottom w:w="100" w:type="dxa"/>
              <w:right w:w="100" w:type="dxa"/>
            </w:tcMar>
          </w:tcPr>
          <w:p w:rsidR="00043C9C" w:rsidRDefault="00013188">
            <w:pPr>
              <w:spacing w:line="240" w:lineRule="auto"/>
              <w:rPr>
                <w:rFonts w:ascii="Lato" w:eastAsia="Lato" w:hAnsi="Lato" w:cs="Lato"/>
              </w:rPr>
            </w:pPr>
            <w:proofErr w:type="spellStart"/>
            <w:r>
              <w:rPr>
                <w:rFonts w:ascii="Lato" w:eastAsia="Lato" w:hAnsi="Lato" w:cs="Lato"/>
              </w:rPr>
              <w:t>Burnier</w:t>
            </w:r>
            <w:proofErr w:type="spellEnd"/>
            <w:r>
              <w:rPr>
                <w:rFonts w:ascii="Lato" w:eastAsia="Lato" w:hAnsi="Lato" w:cs="Lato"/>
              </w:rPr>
              <w:t xml:space="preserve">, </w:t>
            </w:r>
            <w:hyperlink r:id="rId10">
              <w:r>
                <w:rPr>
                  <w:rFonts w:ascii="Lato" w:eastAsia="Lato" w:hAnsi="Lato" w:cs="Lato"/>
                  <w:color w:val="1155CC"/>
                  <w:u w:val="single"/>
                </w:rPr>
                <w:t>“Frances Perkins’ Disappearance from American Public Administration”</w:t>
              </w:r>
            </w:hyperlink>
          </w:p>
          <w:p w:rsidR="00043C9C" w:rsidRDefault="00043C9C">
            <w:pPr>
              <w:spacing w:line="240" w:lineRule="auto"/>
              <w:rPr>
                <w:rFonts w:ascii="Lato" w:eastAsia="Lato" w:hAnsi="Lato" w:cs="Lato"/>
              </w:rPr>
            </w:pPr>
          </w:p>
          <w:p w:rsidR="00043C9C" w:rsidRDefault="00013188">
            <w:pPr>
              <w:spacing w:line="240" w:lineRule="auto"/>
              <w:rPr>
                <w:rFonts w:ascii="Lato" w:eastAsia="Lato" w:hAnsi="Lato" w:cs="Lato"/>
              </w:rPr>
            </w:pPr>
            <w:r>
              <w:rPr>
                <w:rFonts w:ascii="Lato" w:eastAsia="Lato" w:hAnsi="Lato" w:cs="Lato"/>
              </w:rPr>
              <w:t xml:space="preserve">Gallagher, Chapter 2 in </w:t>
            </w:r>
            <w:hyperlink r:id="rId11">
              <w:r>
                <w:rPr>
                  <w:rFonts w:ascii="Lato" w:eastAsia="Lato" w:hAnsi="Lato" w:cs="Lato"/>
                  <w:color w:val="1155CC"/>
                  <w:u w:val="single"/>
                </w:rPr>
                <w:t>Black Women and Politics in New York City</w:t>
              </w:r>
            </w:hyperlink>
            <w:r>
              <w:rPr>
                <w:rFonts w:ascii="Lato" w:eastAsia="Lato" w:hAnsi="Lato" w:cs="Lato"/>
              </w:rPr>
              <w:t xml:space="preserve"> ( pages 1-11 only)</w:t>
            </w:r>
          </w:p>
          <w:p w:rsidR="00043C9C" w:rsidRDefault="00043C9C">
            <w:pPr>
              <w:spacing w:line="240" w:lineRule="auto"/>
              <w:rPr>
                <w:rFonts w:ascii="Lato" w:eastAsia="Lato" w:hAnsi="Lato" w:cs="Lato"/>
              </w:rPr>
            </w:pPr>
          </w:p>
          <w:p w:rsidR="00043C9C" w:rsidRDefault="00013188">
            <w:pPr>
              <w:spacing w:line="240" w:lineRule="auto"/>
              <w:rPr>
                <w:rFonts w:ascii="Lato" w:eastAsia="Lato" w:hAnsi="Lato" w:cs="Lato"/>
              </w:rPr>
            </w:pPr>
            <w:r>
              <w:rPr>
                <w:rFonts w:ascii="Lato" w:eastAsia="Lato" w:hAnsi="Lato" w:cs="Lato"/>
              </w:rPr>
              <w:t xml:space="preserve">NPR </w:t>
            </w:r>
            <w:proofErr w:type="spellStart"/>
            <w:r>
              <w:rPr>
                <w:rFonts w:ascii="Lato" w:eastAsia="Lato" w:hAnsi="Lato" w:cs="Lato"/>
              </w:rPr>
              <w:t>Throughline</w:t>
            </w:r>
            <w:proofErr w:type="spellEnd"/>
            <w:r>
              <w:rPr>
                <w:rFonts w:ascii="Lato" w:eastAsia="Lato" w:hAnsi="Lato" w:cs="Lato"/>
              </w:rPr>
              <w:t xml:space="preserve"> Podcast, </w:t>
            </w:r>
            <w:hyperlink r:id="rId12">
              <w:r>
                <w:rPr>
                  <w:rFonts w:ascii="Lato" w:eastAsia="Lato" w:hAnsi="Lato" w:cs="Lato"/>
                  <w:color w:val="1155CC"/>
                  <w:u w:val="single"/>
                </w:rPr>
                <w:t>The Lave</w:t>
              </w:r>
              <w:r>
                <w:rPr>
                  <w:rFonts w:ascii="Lato" w:eastAsia="Lato" w:hAnsi="Lato" w:cs="Lato"/>
                  <w:color w:val="1155CC"/>
                  <w:u w:val="single"/>
                </w:rPr>
                <w:t xml:space="preserve">nder Scare </w:t>
              </w:r>
            </w:hyperlink>
            <w:r>
              <w:rPr>
                <w:rFonts w:ascii="Lato" w:eastAsia="Lato" w:hAnsi="Lato" w:cs="Lato"/>
              </w:rPr>
              <w:t>(51-minute episode)</w:t>
            </w:r>
          </w:p>
          <w:p w:rsidR="00043C9C" w:rsidRDefault="00043C9C">
            <w:pPr>
              <w:spacing w:line="240" w:lineRule="auto"/>
              <w:rPr>
                <w:rFonts w:ascii="Lato" w:eastAsia="Lato" w:hAnsi="Lato" w:cs="Lato"/>
              </w:rPr>
            </w:pPr>
          </w:p>
          <w:p w:rsidR="00043C9C" w:rsidRDefault="00013188">
            <w:pPr>
              <w:spacing w:line="240" w:lineRule="auto"/>
              <w:rPr>
                <w:rFonts w:ascii="Lato" w:eastAsia="Lato" w:hAnsi="Lato" w:cs="Lato"/>
              </w:rPr>
            </w:pPr>
            <w:r>
              <w:rPr>
                <w:rFonts w:ascii="Lato" w:eastAsia="Lato" w:hAnsi="Lato" w:cs="Lato"/>
              </w:rPr>
              <w:t xml:space="preserve">Reference Text: Hancock, </w:t>
            </w:r>
            <w:hyperlink r:id="rId13">
              <w:r>
                <w:rPr>
                  <w:rFonts w:ascii="Lato" w:eastAsia="Lato" w:hAnsi="Lato" w:cs="Lato"/>
                  <w:color w:val="1155CC"/>
                  <w:u w:val="single"/>
                </w:rPr>
                <w:t>“Politics of Disgust”</w:t>
              </w:r>
            </w:hyperlink>
          </w:p>
        </w:tc>
      </w:tr>
      <w:tr w:rsidR="00043C9C" w:rsidTr="00E05F0D">
        <w:tc>
          <w:tcPr>
            <w:tcW w:w="1035" w:type="dxa"/>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rPr>
            </w:pPr>
            <w:r>
              <w:rPr>
                <w:rFonts w:ascii="Lato" w:eastAsia="Lato" w:hAnsi="Lato" w:cs="Lato"/>
              </w:rPr>
              <w:t>2/14</w:t>
            </w:r>
          </w:p>
        </w:tc>
        <w:tc>
          <w:tcPr>
            <w:tcW w:w="3525" w:type="dxa"/>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rPr>
            </w:pPr>
            <w:r>
              <w:rPr>
                <w:rFonts w:ascii="Lato" w:eastAsia="Lato" w:hAnsi="Lato" w:cs="Lato"/>
              </w:rPr>
              <w:t>Theories of Gender and Race</w:t>
            </w:r>
          </w:p>
          <w:p w:rsidR="00043C9C" w:rsidRDefault="00043C9C">
            <w:pPr>
              <w:widowControl w:val="0"/>
              <w:spacing w:line="240" w:lineRule="auto"/>
              <w:rPr>
                <w:rFonts w:ascii="Lato" w:eastAsia="Lato" w:hAnsi="Lato" w:cs="Lato"/>
              </w:rPr>
            </w:pPr>
          </w:p>
        </w:tc>
        <w:tc>
          <w:tcPr>
            <w:tcW w:w="4995" w:type="dxa"/>
            <w:shd w:val="clear" w:color="auto" w:fill="auto"/>
            <w:tcMar>
              <w:top w:w="100" w:type="dxa"/>
              <w:left w:w="100" w:type="dxa"/>
              <w:bottom w:w="100" w:type="dxa"/>
              <w:right w:w="100" w:type="dxa"/>
            </w:tcMar>
          </w:tcPr>
          <w:p w:rsidR="00043C9C" w:rsidRDefault="00013188">
            <w:pPr>
              <w:spacing w:line="240" w:lineRule="auto"/>
              <w:rPr>
                <w:rFonts w:ascii="Lato" w:eastAsia="Lato" w:hAnsi="Lato" w:cs="Lato"/>
              </w:rPr>
            </w:pPr>
            <w:r>
              <w:rPr>
                <w:rFonts w:ascii="Lato" w:eastAsia="Lato" w:hAnsi="Lato" w:cs="Lato"/>
              </w:rPr>
              <w:t>Acker, “</w:t>
            </w:r>
            <w:hyperlink r:id="rId14">
              <w:r>
                <w:rPr>
                  <w:rFonts w:ascii="Lato" w:eastAsia="Lato" w:hAnsi="Lato" w:cs="Lato"/>
                  <w:color w:val="1155CC"/>
                  <w:u w:val="single"/>
                </w:rPr>
                <w:t>Hierarchies, Jobs, Bodies</w:t>
              </w:r>
            </w:hyperlink>
            <w:r>
              <w:rPr>
                <w:rFonts w:ascii="Lato" w:eastAsia="Lato" w:hAnsi="Lato" w:cs="Lato"/>
              </w:rPr>
              <w:t>”</w:t>
            </w:r>
          </w:p>
          <w:p w:rsidR="00043C9C" w:rsidRDefault="00043C9C">
            <w:pPr>
              <w:spacing w:line="240" w:lineRule="auto"/>
              <w:rPr>
                <w:rFonts w:ascii="Lato" w:eastAsia="Lato" w:hAnsi="Lato" w:cs="Lato"/>
              </w:rPr>
            </w:pPr>
          </w:p>
          <w:p w:rsidR="00043C9C" w:rsidRDefault="00013188">
            <w:pPr>
              <w:widowControl w:val="0"/>
              <w:spacing w:line="240" w:lineRule="auto"/>
              <w:rPr>
                <w:rFonts w:ascii="Lato" w:eastAsia="Lato" w:hAnsi="Lato" w:cs="Lato"/>
              </w:rPr>
            </w:pPr>
            <w:r>
              <w:rPr>
                <w:rFonts w:ascii="Lato" w:eastAsia="Lato" w:hAnsi="Lato" w:cs="Lato"/>
              </w:rPr>
              <w:t xml:space="preserve">Heckler, </w:t>
            </w:r>
            <w:hyperlink r:id="rId15">
              <w:r>
                <w:rPr>
                  <w:rFonts w:ascii="Lato" w:eastAsia="Lato" w:hAnsi="Lato" w:cs="Lato"/>
                  <w:color w:val="1155CC"/>
                  <w:u w:val="single"/>
                </w:rPr>
                <w:t xml:space="preserve">“Whiteness </w:t>
              </w:r>
              <w:r>
                <w:rPr>
                  <w:rFonts w:ascii="Lato" w:eastAsia="Lato" w:hAnsi="Lato" w:cs="Lato"/>
                  <w:color w:val="1155CC"/>
                  <w:u w:val="single"/>
                </w:rPr>
                <w:t>and Masculinity in Nonprofit Organizations</w:t>
              </w:r>
            </w:hyperlink>
            <w:r>
              <w:rPr>
                <w:rFonts w:ascii="Lato" w:eastAsia="Lato" w:hAnsi="Lato" w:cs="Lato"/>
              </w:rPr>
              <w:t>”</w:t>
            </w:r>
          </w:p>
          <w:p w:rsidR="00043C9C" w:rsidRDefault="00043C9C">
            <w:pPr>
              <w:widowControl w:val="0"/>
              <w:spacing w:line="240" w:lineRule="auto"/>
              <w:rPr>
                <w:rFonts w:ascii="Lato" w:eastAsia="Lato" w:hAnsi="Lato" w:cs="Lato"/>
              </w:rPr>
            </w:pPr>
          </w:p>
          <w:p w:rsidR="00043C9C" w:rsidRDefault="00013188">
            <w:pPr>
              <w:widowControl w:val="0"/>
              <w:spacing w:line="240" w:lineRule="auto"/>
              <w:rPr>
                <w:rFonts w:ascii="Lato" w:eastAsia="Lato" w:hAnsi="Lato" w:cs="Lato"/>
              </w:rPr>
            </w:pPr>
            <w:proofErr w:type="spellStart"/>
            <w:r>
              <w:rPr>
                <w:rFonts w:ascii="Lato" w:eastAsia="Lato" w:hAnsi="Lato" w:cs="Lato"/>
              </w:rPr>
              <w:t>Peretz</w:t>
            </w:r>
            <w:proofErr w:type="spellEnd"/>
            <w:r>
              <w:rPr>
                <w:rFonts w:ascii="Lato" w:eastAsia="Lato" w:hAnsi="Lato" w:cs="Lato"/>
              </w:rPr>
              <w:t>,</w:t>
            </w:r>
            <w:hyperlink r:id="rId16">
              <w:r>
                <w:rPr>
                  <w:rFonts w:ascii="Lato" w:eastAsia="Lato" w:hAnsi="Lato" w:cs="Lato"/>
                  <w:color w:val="1155CC"/>
                  <w:u w:val="single"/>
                </w:rPr>
                <w:t xml:space="preserve"> “Locally Specific Matrices of Domination”</w:t>
              </w:r>
            </w:hyperlink>
          </w:p>
          <w:p w:rsidR="00043C9C" w:rsidRDefault="00043C9C">
            <w:pPr>
              <w:widowControl w:val="0"/>
              <w:spacing w:line="240" w:lineRule="auto"/>
              <w:rPr>
                <w:rFonts w:ascii="Lato" w:eastAsia="Lato" w:hAnsi="Lato" w:cs="Lato"/>
              </w:rPr>
            </w:pPr>
          </w:p>
          <w:p w:rsidR="00043C9C" w:rsidRDefault="00013188">
            <w:pPr>
              <w:widowControl w:val="0"/>
              <w:spacing w:line="240" w:lineRule="auto"/>
              <w:rPr>
                <w:rFonts w:ascii="Lato" w:eastAsia="Lato" w:hAnsi="Lato" w:cs="Lato"/>
              </w:rPr>
            </w:pPr>
            <w:r>
              <w:rPr>
                <w:rFonts w:ascii="Lato" w:eastAsia="Lato" w:hAnsi="Lato" w:cs="Lato"/>
              </w:rPr>
              <w:t xml:space="preserve">Reference Texts: </w:t>
            </w:r>
          </w:p>
          <w:p w:rsidR="00043C9C" w:rsidRDefault="00013188">
            <w:pPr>
              <w:widowControl w:val="0"/>
              <w:spacing w:line="240" w:lineRule="auto"/>
              <w:rPr>
                <w:rFonts w:ascii="Lato" w:eastAsia="Lato" w:hAnsi="Lato" w:cs="Lato"/>
              </w:rPr>
            </w:pPr>
            <w:proofErr w:type="spellStart"/>
            <w:r>
              <w:rPr>
                <w:rFonts w:ascii="Lato" w:eastAsia="Lato" w:hAnsi="Lato" w:cs="Lato"/>
              </w:rPr>
              <w:t>Borry</w:t>
            </w:r>
            <w:proofErr w:type="spellEnd"/>
            <w:r>
              <w:rPr>
                <w:rFonts w:ascii="Lato" w:eastAsia="Lato" w:hAnsi="Lato" w:cs="Lato"/>
              </w:rPr>
              <w:t xml:space="preserve"> &amp; </w:t>
            </w:r>
            <w:proofErr w:type="spellStart"/>
            <w:r>
              <w:rPr>
                <w:rFonts w:ascii="Lato" w:eastAsia="Lato" w:hAnsi="Lato" w:cs="Lato"/>
              </w:rPr>
              <w:t>Getha</w:t>
            </w:r>
            <w:proofErr w:type="spellEnd"/>
            <w:r>
              <w:rPr>
                <w:rFonts w:ascii="Lato" w:eastAsia="Lato" w:hAnsi="Lato" w:cs="Lato"/>
              </w:rPr>
              <w:t>-Taylor,</w:t>
            </w:r>
            <w:hyperlink r:id="rId17">
              <w:r>
                <w:rPr>
                  <w:rFonts w:ascii="Lato" w:eastAsia="Lato" w:hAnsi="Lato" w:cs="Lato"/>
                  <w:color w:val="1155CC"/>
                  <w:u w:val="single"/>
                </w:rPr>
                <w:t xml:space="preserve"> “Automation in the Public Sector”</w:t>
              </w:r>
            </w:hyperlink>
          </w:p>
          <w:p w:rsidR="00043C9C" w:rsidRDefault="00013188">
            <w:pPr>
              <w:widowControl w:val="0"/>
              <w:spacing w:line="240" w:lineRule="auto"/>
              <w:rPr>
                <w:rFonts w:ascii="Lato" w:eastAsia="Lato" w:hAnsi="Lato" w:cs="Lato"/>
              </w:rPr>
            </w:pPr>
            <w:r>
              <w:rPr>
                <w:rFonts w:ascii="Lato" w:eastAsia="Lato" w:hAnsi="Lato" w:cs="Lato"/>
              </w:rPr>
              <w:t xml:space="preserve">Collins, </w:t>
            </w:r>
            <w:hyperlink r:id="rId18">
              <w:r>
                <w:rPr>
                  <w:rFonts w:ascii="Lato" w:eastAsia="Lato" w:hAnsi="Lato" w:cs="Lato"/>
                  <w:color w:val="1155CC"/>
                  <w:u w:val="single"/>
                </w:rPr>
                <w:t>“Mat</w:t>
              </w:r>
              <w:r>
                <w:rPr>
                  <w:rFonts w:ascii="Lato" w:eastAsia="Lato" w:hAnsi="Lato" w:cs="Lato"/>
                  <w:color w:val="1155CC"/>
                  <w:u w:val="single"/>
                </w:rPr>
                <w:t>rix of Domination”</w:t>
              </w:r>
            </w:hyperlink>
          </w:p>
          <w:p w:rsidR="00043C9C" w:rsidRDefault="00013188">
            <w:pPr>
              <w:widowControl w:val="0"/>
              <w:spacing w:line="240" w:lineRule="auto"/>
              <w:rPr>
                <w:rFonts w:ascii="Lato" w:eastAsia="Lato" w:hAnsi="Lato" w:cs="Lato"/>
              </w:rPr>
            </w:pPr>
            <w:r>
              <w:rPr>
                <w:rFonts w:ascii="Lato" w:eastAsia="Lato" w:hAnsi="Lato" w:cs="Lato"/>
              </w:rPr>
              <w:t xml:space="preserve">Crenshaw, </w:t>
            </w:r>
            <w:hyperlink r:id="rId19">
              <w:r>
                <w:rPr>
                  <w:rFonts w:ascii="Lato" w:eastAsia="Lato" w:hAnsi="Lato" w:cs="Lato"/>
                  <w:color w:val="1155CC"/>
                  <w:u w:val="single"/>
                </w:rPr>
                <w:t>“Demarginalizing the Intersection of Race and Sex”</w:t>
              </w:r>
            </w:hyperlink>
          </w:p>
        </w:tc>
      </w:tr>
      <w:tr w:rsidR="00043C9C" w:rsidTr="00E05F0D">
        <w:tc>
          <w:tcPr>
            <w:tcW w:w="1035" w:type="dxa"/>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rPr>
            </w:pPr>
            <w:r>
              <w:rPr>
                <w:rFonts w:ascii="Lato" w:eastAsia="Lato" w:hAnsi="Lato" w:cs="Lato"/>
              </w:rPr>
              <w:lastRenderedPageBreak/>
              <w:t>2/21</w:t>
            </w:r>
          </w:p>
        </w:tc>
        <w:tc>
          <w:tcPr>
            <w:tcW w:w="3525" w:type="dxa"/>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rPr>
            </w:pPr>
            <w:r>
              <w:rPr>
                <w:rFonts w:ascii="Lato" w:eastAsia="Lato" w:hAnsi="Lato" w:cs="Lato"/>
              </w:rPr>
              <w:t>Class and Gender</w:t>
            </w:r>
          </w:p>
          <w:p w:rsidR="00043C9C" w:rsidRDefault="00043C9C">
            <w:pPr>
              <w:widowControl w:val="0"/>
              <w:spacing w:line="240" w:lineRule="auto"/>
              <w:rPr>
                <w:rFonts w:ascii="Lato" w:eastAsia="Lato" w:hAnsi="Lato" w:cs="Lato"/>
              </w:rPr>
            </w:pPr>
          </w:p>
          <w:p w:rsidR="00043C9C" w:rsidRDefault="00013188">
            <w:pPr>
              <w:widowControl w:val="0"/>
              <w:spacing w:line="240" w:lineRule="auto"/>
              <w:rPr>
                <w:rFonts w:ascii="Lato" w:eastAsia="Lato" w:hAnsi="Lato" w:cs="Lato"/>
              </w:rPr>
            </w:pPr>
            <w:r>
              <w:rPr>
                <w:rFonts w:ascii="Lato" w:eastAsia="Lato" w:hAnsi="Lato" w:cs="Lato"/>
              </w:rPr>
              <w:t xml:space="preserve">T&amp;L </w:t>
            </w:r>
            <w:proofErr w:type="gramStart"/>
            <w:r>
              <w:rPr>
                <w:rFonts w:ascii="Lato" w:eastAsia="Lato" w:hAnsi="Lato" w:cs="Lato"/>
              </w:rPr>
              <w:t>Team:_</w:t>
            </w:r>
            <w:proofErr w:type="gramEnd"/>
            <w:r>
              <w:rPr>
                <w:rFonts w:ascii="Lato" w:eastAsia="Lato" w:hAnsi="Lato" w:cs="Lato"/>
              </w:rPr>
              <w:t>______</w:t>
            </w:r>
          </w:p>
        </w:tc>
        <w:tc>
          <w:tcPr>
            <w:tcW w:w="4995" w:type="dxa"/>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rPr>
            </w:pPr>
            <w:proofErr w:type="spellStart"/>
            <w:r>
              <w:rPr>
                <w:rFonts w:ascii="Lato" w:eastAsia="Lato" w:hAnsi="Lato" w:cs="Lato"/>
              </w:rPr>
              <w:t>Gruys</w:t>
            </w:r>
            <w:proofErr w:type="spellEnd"/>
            <w:r>
              <w:rPr>
                <w:rFonts w:ascii="Lato" w:eastAsia="Lato" w:hAnsi="Lato" w:cs="Lato"/>
              </w:rPr>
              <w:t xml:space="preserve">, </w:t>
            </w:r>
            <w:hyperlink r:id="rId20">
              <w:r>
                <w:rPr>
                  <w:rFonts w:ascii="Lato" w:eastAsia="Lato" w:hAnsi="Lato" w:cs="Lato"/>
                  <w:color w:val="1155CC"/>
                  <w:u w:val="single"/>
                </w:rPr>
                <w:t>“Making Over Poor Women”</w:t>
              </w:r>
            </w:hyperlink>
          </w:p>
          <w:p w:rsidR="00043C9C" w:rsidRDefault="00043C9C">
            <w:pPr>
              <w:widowControl w:val="0"/>
              <w:spacing w:line="240" w:lineRule="auto"/>
              <w:rPr>
                <w:rFonts w:ascii="Lato" w:eastAsia="Lato" w:hAnsi="Lato" w:cs="Lato"/>
              </w:rPr>
            </w:pPr>
          </w:p>
          <w:p w:rsidR="00043C9C" w:rsidRDefault="00013188">
            <w:pPr>
              <w:widowControl w:val="0"/>
              <w:spacing w:line="240" w:lineRule="auto"/>
              <w:rPr>
                <w:rFonts w:ascii="Lato" w:eastAsia="Lato" w:hAnsi="Lato" w:cs="Lato"/>
              </w:rPr>
            </w:pPr>
            <w:r>
              <w:rPr>
                <w:rFonts w:ascii="Lato" w:eastAsia="Lato" w:hAnsi="Lato" w:cs="Lato"/>
              </w:rPr>
              <w:t>Spade,</w:t>
            </w:r>
            <w:hyperlink r:id="rId21">
              <w:r>
                <w:rPr>
                  <w:rFonts w:ascii="Lato" w:eastAsia="Lato" w:hAnsi="Lato" w:cs="Lato"/>
                  <w:color w:val="1155CC"/>
                  <w:u w:val="single"/>
                </w:rPr>
                <w:t xml:space="preserve"> “Compliance is </w:t>
              </w:r>
              <w:r>
                <w:rPr>
                  <w:rFonts w:ascii="Lato" w:eastAsia="Lato" w:hAnsi="Lato" w:cs="Lato"/>
                  <w:color w:val="1155CC"/>
                  <w:u w:val="single"/>
                </w:rPr>
                <w:t>Gendered”</w:t>
              </w:r>
            </w:hyperlink>
          </w:p>
          <w:p w:rsidR="00043C9C" w:rsidRDefault="00043C9C">
            <w:pPr>
              <w:widowControl w:val="0"/>
              <w:spacing w:line="240" w:lineRule="auto"/>
              <w:rPr>
                <w:rFonts w:ascii="Lato" w:eastAsia="Lato" w:hAnsi="Lato" w:cs="Lato"/>
              </w:rPr>
            </w:pPr>
          </w:p>
          <w:p w:rsidR="00043C9C" w:rsidRDefault="00013188">
            <w:pPr>
              <w:widowControl w:val="0"/>
              <w:spacing w:line="240" w:lineRule="auto"/>
              <w:rPr>
                <w:rFonts w:ascii="Lato" w:eastAsia="Lato" w:hAnsi="Lato" w:cs="Lato"/>
              </w:rPr>
            </w:pPr>
            <w:r>
              <w:rPr>
                <w:rFonts w:ascii="Lato" w:eastAsia="Lato" w:hAnsi="Lato" w:cs="Lato"/>
              </w:rPr>
              <w:t xml:space="preserve">Reference Text: Crompton, </w:t>
            </w:r>
            <w:hyperlink r:id="rId22">
              <w:r>
                <w:rPr>
                  <w:rFonts w:ascii="Lato" w:eastAsia="Lato" w:hAnsi="Lato" w:cs="Lato"/>
                  <w:color w:val="1155CC"/>
                  <w:u w:val="single"/>
                </w:rPr>
                <w:t>“Class Theory and Gender”</w:t>
              </w:r>
            </w:hyperlink>
          </w:p>
        </w:tc>
      </w:tr>
      <w:tr w:rsidR="00043C9C" w:rsidTr="00E05F0D">
        <w:tc>
          <w:tcPr>
            <w:tcW w:w="1035" w:type="dxa"/>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rPr>
            </w:pPr>
            <w:r>
              <w:rPr>
                <w:rFonts w:ascii="Lato" w:eastAsia="Lato" w:hAnsi="Lato" w:cs="Lato"/>
              </w:rPr>
              <w:t>2/28</w:t>
            </w:r>
          </w:p>
        </w:tc>
        <w:tc>
          <w:tcPr>
            <w:tcW w:w="3525" w:type="dxa"/>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rPr>
            </w:pPr>
            <w:r>
              <w:rPr>
                <w:rFonts w:ascii="Lato" w:eastAsia="Lato" w:hAnsi="Lato" w:cs="Lato"/>
              </w:rPr>
              <w:t>Sexuality and Gender</w:t>
            </w:r>
          </w:p>
          <w:p w:rsidR="00043C9C" w:rsidRDefault="00043C9C">
            <w:pPr>
              <w:widowControl w:val="0"/>
              <w:spacing w:line="240" w:lineRule="auto"/>
              <w:rPr>
                <w:rFonts w:ascii="Lato" w:eastAsia="Lato" w:hAnsi="Lato" w:cs="Lato"/>
              </w:rPr>
            </w:pPr>
          </w:p>
          <w:p w:rsidR="00043C9C" w:rsidRDefault="00013188">
            <w:pPr>
              <w:widowControl w:val="0"/>
              <w:spacing w:line="240" w:lineRule="auto"/>
              <w:rPr>
                <w:rFonts w:ascii="Lato" w:eastAsia="Lato" w:hAnsi="Lato" w:cs="Lato"/>
              </w:rPr>
            </w:pPr>
            <w:r>
              <w:rPr>
                <w:rFonts w:ascii="Lato" w:eastAsia="Lato" w:hAnsi="Lato" w:cs="Lato"/>
              </w:rPr>
              <w:t xml:space="preserve">T&amp;L </w:t>
            </w:r>
            <w:proofErr w:type="gramStart"/>
            <w:r>
              <w:rPr>
                <w:rFonts w:ascii="Lato" w:eastAsia="Lato" w:hAnsi="Lato" w:cs="Lato"/>
              </w:rPr>
              <w:t>Team:_</w:t>
            </w:r>
            <w:proofErr w:type="gramEnd"/>
            <w:r>
              <w:rPr>
                <w:rFonts w:ascii="Lato" w:eastAsia="Lato" w:hAnsi="Lato" w:cs="Lato"/>
              </w:rPr>
              <w:t>______</w:t>
            </w:r>
          </w:p>
        </w:tc>
        <w:tc>
          <w:tcPr>
            <w:tcW w:w="4995" w:type="dxa"/>
            <w:shd w:val="clear" w:color="auto" w:fill="auto"/>
            <w:tcMar>
              <w:top w:w="100" w:type="dxa"/>
              <w:left w:w="100" w:type="dxa"/>
              <w:bottom w:w="100" w:type="dxa"/>
              <w:right w:w="100" w:type="dxa"/>
            </w:tcMar>
          </w:tcPr>
          <w:p w:rsidR="00043C9C" w:rsidRDefault="00013188">
            <w:pPr>
              <w:spacing w:line="240" w:lineRule="auto"/>
              <w:rPr>
                <w:rFonts w:ascii="Lato" w:eastAsia="Lato" w:hAnsi="Lato" w:cs="Lato"/>
              </w:rPr>
            </w:pPr>
            <w:r>
              <w:rPr>
                <w:rFonts w:ascii="Lato" w:eastAsia="Lato" w:hAnsi="Lato" w:cs="Lato"/>
              </w:rPr>
              <w:t xml:space="preserve">Matthews &amp; </w:t>
            </w:r>
            <w:proofErr w:type="spellStart"/>
            <w:r>
              <w:rPr>
                <w:rFonts w:ascii="Lato" w:eastAsia="Lato" w:hAnsi="Lato" w:cs="Lato"/>
              </w:rPr>
              <w:t>Poyner</w:t>
            </w:r>
            <w:proofErr w:type="spellEnd"/>
            <w:r>
              <w:rPr>
                <w:rFonts w:ascii="Lato" w:eastAsia="Lato" w:hAnsi="Lato" w:cs="Lato"/>
              </w:rPr>
              <w:t xml:space="preserve">, </w:t>
            </w:r>
            <w:hyperlink r:id="rId23">
              <w:r>
                <w:rPr>
                  <w:rFonts w:ascii="Lato" w:eastAsia="Lato" w:hAnsi="Lato" w:cs="Lato"/>
                  <w:color w:val="1155CC"/>
                  <w:u w:val="single"/>
                </w:rPr>
                <w:t>“Queer(y)</w:t>
              </w:r>
              <w:proofErr w:type="spellStart"/>
              <w:r>
                <w:rPr>
                  <w:rFonts w:ascii="Lato" w:eastAsia="Lato" w:hAnsi="Lato" w:cs="Lato"/>
                  <w:color w:val="1155CC"/>
                  <w:u w:val="single"/>
                </w:rPr>
                <w:t>ing</w:t>
              </w:r>
              <w:proofErr w:type="spellEnd"/>
              <w:r>
                <w:rPr>
                  <w:rFonts w:ascii="Lato" w:eastAsia="Lato" w:hAnsi="Lato" w:cs="Lato"/>
                  <w:color w:val="1155CC"/>
                  <w:u w:val="single"/>
                </w:rPr>
                <w:t xml:space="preserve"> Public Administration”</w:t>
              </w:r>
            </w:hyperlink>
          </w:p>
          <w:p w:rsidR="00043C9C" w:rsidRDefault="00043C9C">
            <w:pPr>
              <w:spacing w:line="240" w:lineRule="auto"/>
              <w:rPr>
                <w:rFonts w:ascii="Lato" w:eastAsia="Lato" w:hAnsi="Lato" w:cs="Lato"/>
              </w:rPr>
            </w:pPr>
          </w:p>
          <w:p w:rsidR="00043C9C" w:rsidRDefault="00013188">
            <w:pPr>
              <w:spacing w:line="240" w:lineRule="auto"/>
              <w:rPr>
                <w:rFonts w:ascii="Lato" w:eastAsia="Lato" w:hAnsi="Lato" w:cs="Lato"/>
              </w:rPr>
            </w:pPr>
            <w:proofErr w:type="spellStart"/>
            <w:r>
              <w:rPr>
                <w:rFonts w:ascii="Lato" w:eastAsia="Lato" w:hAnsi="Lato" w:cs="Lato"/>
              </w:rPr>
              <w:t>Thoroughgood</w:t>
            </w:r>
            <w:proofErr w:type="spellEnd"/>
            <w:r>
              <w:rPr>
                <w:rFonts w:ascii="Lato" w:eastAsia="Lato" w:hAnsi="Lato" w:cs="Lato"/>
              </w:rPr>
              <w:t xml:space="preserve"> et al, “</w:t>
            </w:r>
            <w:hyperlink r:id="rId24">
              <w:r>
                <w:rPr>
                  <w:rFonts w:ascii="Lato" w:eastAsia="Lato" w:hAnsi="Lato" w:cs="Lato"/>
                  <w:color w:val="1155CC"/>
                  <w:u w:val="single"/>
                </w:rPr>
                <w:t>Creating a T</w:t>
              </w:r>
              <w:r>
                <w:rPr>
                  <w:rFonts w:ascii="Lato" w:eastAsia="Lato" w:hAnsi="Lato" w:cs="Lato"/>
                  <w:color w:val="1155CC"/>
                  <w:u w:val="single"/>
                </w:rPr>
                <w:t>rans-Inclusive Workplace</w:t>
              </w:r>
            </w:hyperlink>
            <w:r>
              <w:rPr>
                <w:rFonts w:ascii="Lato" w:eastAsia="Lato" w:hAnsi="Lato" w:cs="Lato"/>
              </w:rPr>
              <w:t xml:space="preserve">” </w:t>
            </w:r>
          </w:p>
          <w:p w:rsidR="00043C9C" w:rsidRDefault="00043C9C">
            <w:pPr>
              <w:spacing w:line="240" w:lineRule="auto"/>
              <w:rPr>
                <w:rFonts w:ascii="Lato" w:eastAsia="Lato" w:hAnsi="Lato" w:cs="Lato"/>
              </w:rPr>
            </w:pPr>
          </w:p>
          <w:p w:rsidR="00043C9C" w:rsidRDefault="00013188">
            <w:pPr>
              <w:spacing w:line="240" w:lineRule="auto"/>
              <w:rPr>
                <w:rFonts w:ascii="Lato" w:eastAsia="Lato" w:hAnsi="Lato" w:cs="Lato"/>
              </w:rPr>
            </w:pPr>
            <w:r>
              <w:rPr>
                <w:rFonts w:ascii="Lato" w:eastAsia="Lato" w:hAnsi="Lato" w:cs="Lato"/>
              </w:rPr>
              <w:t xml:space="preserve">Reference Text: </w:t>
            </w:r>
            <w:proofErr w:type="gramStart"/>
            <w:r>
              <w:rPr>
                <w:rFonts w:ascii="Lato" w:eastAsia="Lato" w:hAnsi="Lato" w:cs="Lato"/>
              </w:rPr>
              <w:t>Ng ,</w:t>
            </w:r>
            <w:proofErr w:type="gramEnd"/>
            <w:r>
              <w:rPr>
                <w:rFonts w:ascii="Lato" w:eastAsia="Lato" w:hAnsi="Lato" w:cs="Lato"/>
              </w:rPr>
              <w:t xml:space="preserve"> et. al, </w:t>
            </w:r>
            <w:hyperlink r:id="rId25">
              <w:r>
                <w:rPr>
                  <w:rFonts w:ascii="Lato" w:eastAsia="Lato" w:hAnsi="Lato" w:cs="Lato"/>
                  <w:color w:val="1155CC"/>
                  <w:u w:val="single"/>
                </w:rPr>
                <w:t xml:space="preserve">“Anticipated Discrimination and a Career Choice in Nonprofit” </w:t>
              </w:r>
            </w:hyperlink>
          </w:p>
        </w:tc>
      </w:tr>
      <w:tr w:rsidR="00043C9C" w:rsidTr="00E05F0D">
        <w:trPr>
          <w:trHeight w:val="420"/>
        </w:trPr>
        <w:tc>
          <w:tcPr>
            <w:tcW w:w="9555" w:type="dxa"/>
            <w:gridSpan w:val="3"/>
            <w:shd w:val="clear" w:color="auto" w:fill="000000"/>
            <w:tcMar>
              <w:top w:w="100" w:type="dxa"/>
              <w:left w:w="100" w:type="dxa"/>
              <w:bottom w:w="100" w:type="dxa"/>
              <w:right w:w="100" w:type="dxa"/>
            </w:tcMar>
          </w:tcPr>
          <w:p w:rsidR="00043C9C" w:rsidRDefault="00013188">
            <w:pPr>
              <w:widowControl w:val="0"/>
              <w:spacing w:line="240" w:lineRule="auto"/>
              <w:jc w:val="center"/>
              <w:rPr>
                <w:rFonts w:ascii="Lato" w:eastAsia="Lato" w:hAnsi="Lato" w:cs="Lato"/>
                <w:b/>
                <w:color w:val="FFFFFF"/>
              </w:rPr>
            </w:pPr>
            <w:r>
              <w:rPr>
                <w:rFonts w:ascii="Lato" w:eastAsia="Lato" w:hAnsi="Lato" w:cs="Lato"/>
                <w:b/>
                <w:color w:val="FFFFFF"/>
              </w:rPr>
              <w:t>Unit 2: Sites of Gender Tension in the Workplace</w:t>
            </w:r>
          </w:p>
        </w:tc>
      </w:tr>
      <w:tr w:rsidR="00043C9C" w:rsidTr="00E05F0D">
        <w:tc>
          <w:tcPr>
            <w:tcW w:w="1035" w:type="dxa"/>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rPr>
            </w:pPr>
            <w:r>
              <w:rPr>
                <w:rFonts w:ascii="Lato" w:eastAsia="Lato" w:hAnsi="Lato" w:cs="Lato"/>
              </w:rPr>
              <w:t>3/6</w:t>
            </w:r>
          </w:p>
        </w:tc>
        <w:tc>
          <w:tcPr>
            <w:tcW w:w="3525" w:type="dxa"/>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rPr>
            </w:pPr>
            <w:r>
              <w:rPr>
                <w:rFonts w:ascii="Lato" w:eastAsia="Lato" w:hAnsi="Lato" w:cs="Lato"/>
              </w:rPr>
              <w:t>Hiring and Talent Development</w:t>
            </w:r>
          </w:p>
          <w:p w:rsidR="00043C9C" w:rsidRDefault="00043C9C">
            <w:pPr>
              <w:widowControl w:val="0"/>
              <w:spacing w:line="240" w:lineRule="auto"/>
              <w:rPr>
                <w:rFonts w:ascii="Lato" w:eastAsia="Lato" w:hAnsi="Lato" w:cs="Lato"/>
              </w:rPr>
            </w:pPr>
          </w:p>
          <w:p w:rsidR="00043C9C" w:rsidRDefault="00013188">
            <w:pPr>
              <w:widowControl w:val="0"/>
              <w:spacing w:line="240" w:lineRule="auto"/>
              <w:rPr>
                <w:rFonts w:ascii="Lato" w:eastAsia="Lato" w:hAnsi="Lato" w:cs="Lato"/>
              </w:rPr>
            </w:pPr>
            <w:r>
              <w:rPr>
                <w:rFonts w:ascii="Lato" w:eastAsia="Lato" w:hAnsi="Lato" w:cs="Lato"/>
              </w:rPr>
              <w:t xml:space="preserve">Guest Discussant: </w:t>
            </w:r>
            <w:hyperlink r:id="rId26">
              <w:r>
                <w:rPr>
                  <w:rFonts w:ascii="Lato" w:eastAsia="Lato" w:hAnsi="Lato" w:cs="Lato"/>
                  <w:color w:val="1155CC"/>
                  <w:u w:val="single"/>
                </w:rPr>
                <w:t>Meredith Reitman, Ph.D.</w:t>
              </w:r>
            </w:hyperlink>
          </w:p>
          <w:p w:rsidR="00043C9C" w:rsidRDefault="00043C9C">
            <w:pPr>
              <w:widowControl w:val="0"/>
              <w:spacing w:line="240" w:lineRule="auto"/>
              <w:rPr>
                <w:rFonts w:ascii="Lato" w:eastAsia="Lato" w:hAnsi="Lato" w:cs="Lato"/>
              </w:rPr>
            </w:pPr>
          </w:p>
          <w:p w:rsidR="00043C9C" w:rsidRDefault="00013188">
            <w:pPr>
              <w:widowControl w:val="0"/>
              <w:spacing w:line="240" w:lineRule="auto"/>
              <w:rPr>
                <w:rFonts w:ascii="Lato" w:eastAsia="Lato" w:hAnsi="Lato" w:cs="Lato"/>
              </w:rPr>
            </w:pPr>
            <w:r>
              <w:rPr>
                <w:rFonts w:ascii="Lato" w:eastAsia="Lato" w:hAnsi="Lato" w:cs="Lato"/>
              </w:rPr>
              <w:t xml:space="preserve">T&amp;L Team: </w:t>
            </w:r>
          </w:p>
          <w:p w:rsidR="00043C9C" w:rsidRDefault="00043C9C">
            <w:pPr>
              <w:widowControl w:val="0"/>
              <w:spacing w:line="240" w:lineRule="auto"/>
              <w:rPr>
                <w:rFonts w:ascii="Lato" w:eastAsia="Lato" w:hAnsi="Lato" w:cs="Lato"/>
                <w:i/>
              </w:rPr>
            </w:pPr>
          </w:p>
        </w:tc>
        <w:tc>
          <w:tcPr>
            <w:tcW w:w="4995" w:type="dxa"/>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rPr>
            </w:pPr>
            <w:r>
              <w:rPr>
                <w:rFonts w:ascii="Lato" w:eastAsia="Lato" w:hAnsi="Lato" w:cs="Lato"/>
              </w:rPr>
              <w:t xml:space="preserve">Independent Sector, </w:t>
            </w:r>
            <w:hyperlink r:id="rId27">
              <w:r>
                <w:rPr>
                  <w:rFonts w:ascii="Lato" w:eastAsia="Lato" w:hAnsi="Lato" w:cs="Lato"/>
                  <w:color w:val="1155CC"/>
                  <w:u w:val="single"/>
                </w:rPr>
                <w:t>“Gender Equality in the Charitable Sector</w:t>
              </w:r>
            </w:hyperlink>
            <w:r>
              <w:rPr>
                <w:rFonts w:ascii="Lato" w:eastAsia="Lato" w:hAnsi="Lato" w:cs="Lato"/>
              </w:rPr>
              <w:t>”</w:t>
            </w:r>
          </w:p>
          <w:p w:rsidR="00043C9C" w:rsidRDefault="00043C9C">
            <w:pPr>
              <w:widowControl w:val="0"/>
              <w:spacing w:line="240" w:lineRule="auto"/>
              <w:rPr>
                <w:rFonts w:ascii="Lato" w:eastAsia="Lato" w:hAnsi="Lato" w:cs="Lato"/>
              </w:rPr>
            </w:pPr>
          </w:p>
          <w:p w:rsidR="00043C9C" w:rsidRDefault="00013188">
            <w:pPr>
              <w:widowControl w:val="0"/>
              <w:spacing w:line="240" w:lineRule="auto"/>
              <w:rPr>
                <w:rFonts w:ascii="Lato" w:eastAsia="Lato" w:hAnsi="Lato" w:cs="Lato"/>
              </w:rPr>
            </w:pPr>
            <w:r>
              <w:rPr>
                <w:rFonts w:ascii="Lato" w:eastAsia="Lato" w:hAnsi="Lato" w:cs="Lato"/>
              </w:rPr>
              <w:t xml:space="preserve">Lucas, et. al, </w:t>
            </w:r>
            <w:hyperlink r:id="rId28">
              <w:r>
                <w:rPr>
                  <w:rFonts w:ascii="Lato" w:eastAsia="Lato" w:hAnsi="Lato" w:cs="Lato"/>
                  <w:color w:val="1155CC"/>
                  <w:u w:val="single"/>
                </w:rPr>
                <w:t>“Reduce Gender Bias in Hiring”</w:t>
              </w:r>
            </w:hyperlink>
          </w:p>
          <w:p w:rsidR="00043C9C" w:rsidRDefault="00043C9C">
            <w:pPr>
              <w:widowControl w:val="0"/>
              <w:spacing w:line="240" w:lineRule="auto"/>
              <w:rPr>
                <w:rFonts w:ascii="Lato" w:eastAsia="Lato" w:hAnsi="Lato" w:cs="Lato"/>
              </w:rPr>
            </w:pPr>
          </w:p>
          <w:p w:rsidR="00043C9C" w:rsidRDefault="00013188">
            <w:pPr>
              <w:widowControl w:val="0"/>
              <w:spacing w:line="240" w:lineRule="auto"/>
              <w:rPr>
                <w:rFonts w:ascii="Lato" w:eastAsia="Lato" w:hAnsi="Lato" w:cs="Lato"/>
              </w:rPr>
            </w:pPr>
            <w:r>
              <w:rPr>
                <w:rFonts w:ascii="Lato" w:eastAsia="Lato" w:hAnsi="Lato" w:cs="Lato"/>
              </w:rPr>
              <w:t>Reference Text: Executive Order 14035</w:t>
            </w:r>
            <w:hyperlink r:id="rId29">
              <w:r>
                <w:rPr>
                  <w:rFonts w:ascii="Lato" w:eastAsia="Lato" w:hAnsi="Lato" w:cs="Lato"/>
                  <w:color w:val="1155CC"/>
                  <w:u w:val="single"/>
                </w:rPr>
                <w:t>, “DEIA in the Federal Workforce”</w:t>
              </w:r>
            </w:hyperlink>
          </w:p>
        </w:tc>
      </w:tr>
      <w:tr w:rsidR="00043C9C" w:rsidTr="00E05F0D">
        <w:tc>
          <w:tcPr>
            <w:tcW w:w="1035" w:type="dxa"/>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rPr>
            </w:pPr>
            <w:r>
              <w:rPr>
                <w:rFonts w:ascii="Lato" w:eastAsia="Lato" w:hAnsi="Lato" w:cs="Lato"/>
              </w:rPr>
              <w:t>3/13</w:t>
            </w:r>
          </w:p>
        </w:tc>
        <w:tc>
          <w:tcPr>
            <w:tcW w:w="3525" w:type="dxa"/>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rPr>
            </w:pPr>
            <w:r>
              <w:rPr>
                <w:rFonts w:ascii="Lato" w:eastAsia="Lato" w:hAnsi="Lato" w:cs="Lato"/>
              </w:rPr>
              <w:t>Wages and Salary Negotiation</w:t>
            </w:r>
          </w:p>
          <w:p w:rsidR="00043C9C" w:rsidRDefault="00043C9C">
            <w:pPr>
              <w:widowControl w:val="0"/>
              <w:spacing w:line="240" w:lineRule="auto"/>
              <w:rPr>
                <w:rFonts w:ascii="Lato" w:eastAsia="Lato" w:hAnsi="Lato" w:cs="Lato"/>
              </w:rPr>
            </w:pPr>
          </w:p>
          <w:p w:rsidR="00043C9C" w:rsidRDefault="00043C9C">
            <w:pPr>
              <w:widowControl w:val="0"/>
              <w:spacing w:line="240" w:lineRule="auto"/>
              <w:rPr>
                <w:rFonts w:ascii="Lato" w:eastAsia="Lato" w:hAnsi="Lato" w:cs="Lato"/>
              </w:rPr>
            </w:pPr>
          </w:p>
          <w:p w:rsidR="00043C9C" w:rsidRDefault="00013188">
            <w:pPr>
              <w:widowControl w:val="0"/>
              <w:spacing w:line="240" w:lineRule="auto"/>
              <w:rPr>
                <w:rFonts w:ascii="Lato" w:eastAsia="Lato" w:hAnsi="Lato" w:cs="Lato"/>
              </w:rPr>
            </w:pPr>
            <w:r>
              <w:rPr>
                <w:rFonts w:ascii="Lato" w:eastAsia="Lato" w:hAnsi="Lato" w:cs="Lato"/>
              </w:rPr>
              <w:t xml:space="preserve">T&amp;L </w:t>
            </w:r>
            <w:proofErr w:type="gramStart"/>
            <w:r>
              <w:rPr>
                <w:rFonts w:ascii="Lato" w:eastAsia="Lato" w:hAnsi="Lato" w:cs="Lato"/>
              </w:rPr>
              <w:t>Team:_</w:t>
            </w:r>
            <w:proofErr w:type="gramEnd"/>
            <w:r>
              <w:rPr>
                <w:rFonts w:ascii="Lato" w:eastAsia="Lato" w:hAnsi="Lato" w:cs="Lato"/>
              </w:rPr>
              <w:t>__</w:t>
            </w:r>
            <w:r>
              <w:rPr>
                <w:rFonts w:ascii="Lato" w:eastAsia="Lato" w:hAnsi="Lato" w:cs="Lato"/>
              </w:rPr>
              <w:t>____</w:t>
            </w:r>
          </w:p>
        </w:tc>
        <w:tc>
          <w:tcPr>
            <w:tcW w:w="4995" w:type="dxa"/>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rPr>
            </w:pPr>
            <w:r>
              <w:rPr>
                <w:rFonts w:ascii="Lato" w:eastAsia="Lato" w:hAnsi="Lato" w:cs="Lato"/>
              </w:rPr>
              <w:t xml:space="preserve">Flanagan, </w:t>
            </w:r>
            <w:hyperlink r:id="rId30">
              <w:r>
                <w:rPr>
                  <w:rFonts w:ascii="Lato" w:eastAsia="Lato" w:hAnsi="Lato" w:cs="Lato"/>
                  <w:color w:val="1155CC"/>
                  <w:u w:val="single"/>
                </w:rPr>
                <w:t>“The Feminist Case for a Universal Basic Income”</w:t>
              </w:r>
            </w:hyperlink>
          </w:p>
          <w:p w:rsidR="00043C9C" w:rsidRDefault="00043C9C">
            <w:pPr>
              <w:widowControl w:val="0"/>
              <w:spacing w:line="240" w:lineRule="auto"/>
              <w:rPr>
                <w:rFonts w:ascii="Lato" w:eastAsia="Lato" w:hAnsi="Lato" w:cs="Lato"/>
              </w:rPr>
            </w:pPr>
          </w:p>
          <w:p w:rsidR="00043C9C" w:rsidRDefault="00013188">
            <w:pPr>
              <w:widowControl w:val="0"/>
              <w:spacing w:line="240" w:lineRule="auto"/>
              <w:rPr>
                <w:rFonts w:ascii="Lato" w:eastAsia="Lato" w:hAnsi="Lato" w:cs="Lato"/>
              </w:rPr>
            </w:pPr>
            <w:r>
              <w:rPr>
                <w:rFonts w:ascii="Lato" w:eastAsia="Lato" w:hAnsi="Lato" w:cs="Lato"/>
              </w:rPr>
              <w:t xml:space="preserve">Lee &amp; Lee, </w:t>
            </w:r>
            <w:hyperlink r:id="rId31">
              <w:r>
                <w:rPr>
                  <w:rFonts w:ascii="Lato" w:eastAsia="Lato" w:hAnsi="Lato" w:cs="Lato"/>
                  <w:color w:val="1155CC"/>
                  <w:u w:val="single"/>
                </w:rPr>
                <w:t>“The Roots of the Gender Pay Gap in Nonprofit”</w:t>
              </w:r>
            </w:hyperlink>
          </w:p>
          <w:p w:rsidR="00043C9C" w:rsidRDefault="00043C9C">
            <w:pPr>
              <w:widowControl w:val="0"/>
              <w:spacing w:line="240" w:lineRule="auto"/>
              <w:rPr>
                <w:rFonts w:ascii="Lato" w:eastAsia="Lato" w:hAnsi="Lato" w:cs="Lato"/>
              </w:rPr>
            </w:pPr>
          </w:p>
          <w:p w:rsidR="00043C9C" w:rsidRDefault="00013188">
            <w:pPr>
              <w:widowControl w:val="0"/>
              <w:spacing w:line="240" w:lineRule="auto"/>
              <w:rPr>
                <w:rFonts w:ascii="Lato" w:eastAsia="Lato" w:hAnsi="Lato" w:cs="Lato"/>
              </w:rPr>
            </w:pPr>
            <w:r>
              <w:rPr>
                <w:rFonts w:ascii="Lato" w:eastAsia="Lato" w:hAnsi="Lato" w:cs="Lato"/>
              </w:rPr>
              <w:t xml:space="preserve">Reference Text: </w:t>
            </w:r>
            <w:proofErr w:type="spellStart"/>
            <w:r>
              <w:rPr>
                <w:rFonts w:ascii="Lato" w:eastAsia="Lato" w:hAnsi="Lato" w:cs="Lato"/>
              </w:rPr>
              <w:t>Recalde</w:t>
            </w:r>
            <w:proofErr w:type="spellEnd"/>
            <w:r>
              <w:rPr>
                <w:rFonts w:ascii="Lato" w:eastAsia="Lato" w:hAnsi="Lato" w:cs="Lato"/>
              </w:rPr>
              <w:t xml:space="preserve"> &amp; </w:t>
            </w:r>
            <w:proofErr w:type="spellStart"/>
            <w:r>
              <w:rPr>
                <w:rFonts w:ascii="Lato" w:eastAsia="Lato" w:hAnsi="Lato" w:cs="Lato"/>
              </w:rPr>
              <w:t>Vesterlund</w:t>
            </w:r>
            <w:proofErr w:type="spellEnd"/>
            <w:r>
              <w:rPr>
                <w:rFonts w:ascii="Lato" w:eastAsia="Lato" w:hAnsi="Lato" w:cs="Lato"/>
              </w:rPr>
              <w:t xml:space="preserve">, </w:t>
            </w:r>
            <w:hyperlink r:id="rId32">
              <w:r>
                <w:rPr>
                  <w:rFonts w:ascii="Lato" w:eastAsia="Lato" w:hAnsi="Lato" w:cs="Lato"/>
                  <w:color w:val="1155CC"/>
                  <w:u w:val="single"/>
                </w:rPr>
                <w:t>“Gender Differences in Negotiation and Policy Improvement”</w:t>
              </w:r>
            </w:hyperlink>
          </w:p>
        </w:tc>
      </w:tr>
      <w:tr w:rsidR="00043C9C" w:rsidTr="00E05F0D">
        <w:tc>
          <w:tcPr>
            <w:tcW w:w="1035" w:type="dxa"/>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b/>
              </w:rPr>
            </w:pPr>
            <w:r>
              <w:rPr>
                <w:rFonts w:ascii="Lato" w:eastAsia="Lato" w:hAnsi="Lato" w:cs="Lato"/>
                <w:b/>
              </w:rPr>
              <w:t>3/20</w:t>
            </w:r>
          </w:p>
        </w:tc>
        <w:tc>
          <w:tcPr>
            <w:tcW w:w="8520" w:type="dxa"/>
            <w:gridSpan w:val="2"/>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b/>
              </w:rPr>
            </w:pPr>
            <w:r>
              <w:rPr>
                <w:rFonts w:ascii="Lato" w:eastAsia="Lato" w:hAnsi="Lato" w:cs="Lato"/>
                <w:b/>
              </w:rPr>
              <w:t>Spring Break - no readings due</w:t>
            </w:r>
          </w:p>
        </w:tc>
      </w:tr>
      <w:tr w:rsidR="00043C9C" w:rsidTr="00E05F0D">
        <w:tc>
          <w:tcPr>
            <w:tcW w:w="1035" w:type="dxa"/>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rPr>
            </w:pPr>
            <w:r>
              <w:rPr>
                <w:rFonts w:ascii="Lato" w:eastAsia="Lato" w:hAnsi="Lato" w:cs="Lato"/>
              </w:rPr>
              <w:t>3/27</w:t>
            </w:r>
          </w:p>
        </w:tc>
        <w:tc>
          <w:tcPr>
            <w:tcW w:w="3525" w:type="dxa"/>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rPr>
            </w:pPr>
            <w:r>
              <w:rPr>
                <w:rFonts w:ascii="Lato" w:eastAsia="Lato" w:hAnsi="Lato" w:cs="Lato"/>
              </w:rPr>
              <w:t>Leadership and Glass Cliffs</w:t>
            </w:r>
          </w:p>
          <w:p w:rsidR="00043C9C" w:rsidRDefault="00043C9C">
            <w:pPr>
              <w:widowControl w:val="0"/>
              <w:spacing w:line="240" w:lineRule="auto"/>
              <w:rPr>
                <w:rFonts w:ascii="Lato" w:eastAsia="Lato" w:hAnsi="Lato" w:cs="Lato"/>
              </w:rPr>
            </w:pPr>
          </w:p>
          <w:p w:rsidR="00043C9C" w:rsidRDefault="00043C9C">
            <w:pPr>
              <w:widowControl w:val="0"/>
              <w:spacing w:line="240" w:lineRule="auto"/>
              <w:rPr>
                <w:rFonts w:ascii="Lato" w:eastAsia="Lato" w:hAnsi="Lato" w:cs="Lato"/>
              </w:rPr>
            </w:pPr>
          </w:p>
          <w:p w:rsidR="00043C9C" w:rsidRDefault="00013188">
            <w:pPr>
              <w:widowControl w:val="0"/>
              <w:spacing w:line="240" w:lineRule="auto"/>
              <w:rPr>
                <w:rFonts w:ascii="Lato" w:eastAsia="Lato" w:hAnsi="Lato" w:cs="Lato"/>
              </w:rPr>
            </w:pPr>
            <w:r>
              <w:rPr>
                <w:rFonts w:ascii="Lato" w:eastAsia="Lato" w:hAnsi="Lato" w:cs="Lato"/>
              </w:rPr>
              <w:t xml:space="preserve">T&amp;L </w:t>
            </w:r>
            <w:proofErr w:type="gramStart"/>
            <w:r>
              <w:rPr>
                <w:rFonts w:ascii="Lato" w:eastAsia="Lato" w:hAnsi="Lato" w:cs="Lato"/>
              </w:rPr>
              <w:t>Team:_</w:t>
            </w:r>
            <w:proofErr w:type="gramEnd"/>
            <w:r>
              <w:rPr>
                <w:rFonts w:ascii="Lato" w:eastAsia="Lato" w:hAnsi="Lato" w:cs="Lato"/>
              </w:rPr>
              <w:t>______</w:t>
            </w:r>
          </w:p>
        </w:tc>
        <w:tc>
          <w:tcPr>
            <w:tcW w:w="4995" w:type="dxa"/>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rPr>
            </w:pPr>
            <w:r>
              <w:rPr>
                <w:rFonts w:ascii="Lato" w:eastAsia="Lato" w:hAnsi="Lato" w:cs="Lato"/>
              </w:rPr>
              <w:t>Harvey Wingfield,</w:t>
            </w:r>
            <w:hyperlink r:id="rId33">
              <w:r>
                <w:rPr>
                  <w:rFonts w:ascii="Lato" w:eastAsia="Lato" w:hAnsi="Lato" w:cs="Lato"/>
                  <w:color w:val="1155CC"/>
                  <w:u w:val="single"/>
                </w:rPr>
                <w:t xml:space="preserve"> “Racializing the Glass Elevator”</w:t>
              </w:r>
            </w:hyperlink>
          </w:p>
          <w:p w:rsidR="00043C9C" w:rsidRDefault="00043C9C">
            <w:pPr>
              <w:widowControl w:val="0"/>
              <w:spacing w:line="240" w:lineRule="auto"/>
              <w:rPr>
                <w:rFonts w:ascii="Lato" w:eastAsia="Lato" w:hAnsi="Lato" w:cs="Lato"/>
              </w:rPr>
            </w:pPr>
          </w:p>
          <w:p w:rsidR="00043C9C" w:rsidRDefault="00013188">
            <w:pPr>
              <w:widowControl w:val="0"/>
              <w:spacing w:line="240" w:lineRule="auto"/>
              <w:rPr>
                <w:rFonts w:ascii="Lato" w:eastAsia="Lato" w:hAnsi="Lato" w:cs="Lato"/>
              </w:rPr>
            </w:pPr>
            <w:r>
              <w:rPr>
                <w:rFonts w:ascii="Lato" w:eastAsia="Lato" w:hAnsi="Lato" w:cs="Lato"/>
              </w:rPr>
              <w:t xml:space="preserve">Rendon, </w:t>
            </w:r>
            <w:hyperlink r:id="rId34">
              <w:r>
                <w:rPr>
                  <w:rFonts w:ascii="Lato" w:eastAsia="Lato" w:hAnsi="Lato" w:cs="Lato"/>
                  <w:color w:val="1155CC"/>
                  <w:u w:val="single"/>
                </w:rPr>
                <w:t>“Unde</w:t>
              </w:r>
              <w:r>
                <w:rPr>
                  <w:rFonts w:ascii="Lato" w:eastAsia="Lato" w:hAnsi="Lato" w:cs="Lato"/>
                  <w:color w:val="1155CC"/>
                  <w:u w:val="single"/>
                </w:rPr>
                <w:t>rpaid Black Leader Who Turned Around Social-Justice Nonprofit Resigns”</w:t>
              </w:r>
            </w:hyperlink>
          </w:p>
          <w:p w:rsidR="00043C9C" w:rsidRDefault="00043C9C">
            <w:pPr>
              <w:widowControl w:val="0"/>
              <w:spacing w:line="240" w:lineRule="auto"/>
              <w:rPr>
                <w:rFonts w:ascii="Lato" w:eastAsia="Lato" w:hAnsi="Lato" w:cs="Lato"/>
              </w:rPr>
            </w:pPr>
          </w:p>
          <w:p w:rsidR="00043C9C" w:rsidRDefault="00013188">
            <w:pPr>
              <w:widowControl w:val="0"/>
              <w:spacing w:line="240" w:lineRule="auto"/>
              <w:rPr>
                <w:rFonts w:ascii="Lato" w:eastAsia="Lato" w:hAnsi="Lato" w:cs="Lato"/>
              </w:rPr>
            </w:pPr>
            <w:r>
              <w:rPr>
                <w:rFonts w:ascii="Lato" w:eastAsia="Lato" w:hAnsi="Lato" w:cs="Lato"/>
              </w:rPr>
              <w:t xml:space="preserve">Reference Text: Yang, et. al, </w:t>
            </w:r>
            <w:hyperlink r:id="rId35">
              <w:r>
                <w:rPr>
                  <w:rFonts w:ascii="Lato" w:eastAsia="Lato" w:hAnsi="Lato" w:cs="Lato"/>
                  <w:color w:val="1155CC"/>
                  <w:u w:val="single"/>
                </w:rPr>
                <w:t>“Is There a Glass Cliff in Local Government Manag</w:t>
              </w:r>
              <w:r>
                <w:rPr>
                  <w:rFonts w:ascii="Lato" w:eastAsia="Lato" w:hAnsi="Lato" w:cs="Lato"/>
                  <w:color w:val="1155CC"/>
                  <w:u w:val="single"/>
                </w:rPr>
                <w:t>ement”</w:t>
              </w:r>
            </w:hyperlink>
          </w:p>
        </w:tc>
      </w:tr>
      <w:tr w:rsidR="00043C9C" w:rsidTr="00E05F0D">
        <w:tc>
          <w:tcPr>
            <w:tcW w:w="1035" w:type="dxa"/>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rPr>
            </w:pPr>
            <w:r>
              <w:rPr>
                <w:rFonts w:ascii="Lato" w:eastAsia="Lato" w:hAnsi="Lato" w:cs="Lato"/>
              </w:rPr>
              <w:lastRenderedPageBreak/>
              <w:t>4/3</w:t>
            </w:r>
          </w:p>
        </w:tc>
        <w:tc>
          <w:tcPr>
            <w:tcW w:w="3525" w:type="dxa"/>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rPr>
            </w:pPr>
            <w:r>
              <w:rPr>
                <w:rFonts w:ascii="Lato" w:eastAsia="Lato" w:hAnsi="Lato" w:cs="Lato"/>
              </w:rPr>
              <w:t>Discrimination and Harassment</w:t>
            </w:r>
          </w:p>
          <w:p w:rsidR="00043C9C" w:rsidRDefault="00043C9C">
            <w:pPr>
              <w:widowControl w:val="0"/>
              <w:spacing w:line="240" w:lineRule="auto"/>
              <w:rPr>
                <w:rFonts w:ascii="Lato" w:eastAsia="Lato" w:hAnsi="Lato" w:cs="Lato"/>
              </w:rPr>
            </w:pPr>
          </w:p>
          <w:p w:rsidR="00043C9C" w:rsidRDefault="00013188">
            <w:pPr>
              <w:widowControl w:val="0"/>
              <w:spacing w:line="240" w:lineRule="auto"/>
              <w:rPr>
                <w:rFonts w:ascii="Lato" w:eastAsia="Lato" w:hAnsi="Lato" w:cs="Lato"/>
              </w:rPr>
            </w:pPr>
            <w:r>
              <w:rPr>
                <w:rFonts w:ascii="Lato" w:eastAsia="Lato" w:hAnsi="Lato" w:cs="Lato"/>
              </w:rPr>
              <w:t xml:space="preserve">T&amp;L </w:t>
            </w:r>
            <w:proofErr w:type="gramStart"/>
            <w:r>
              <w:rPr>
                <w:rFonts w:ascii="Lato" w:eastAsia="Lato" w:hAnsi="Lato" w:cs="Lato"/>
              </w:rPr>
              <w:t>Team:_</w:t>
            </w:r>
            <w:proofErr w:type="gramEnd"/>
            <w:r>
              <w:rPr>
                <w:rFonts w:ascii="Lato" w:eastAsia="Lato" w:hAnsi="Lato" w:cs="Lato"/>
              </w:rPr>
              <w:t>______</w:t>
            </w:r>
          </w:p>
        </w:tc>
        <w:tc>
          <w:tcPr>
            <w:tcW w:w="4995" w:type="dxa"/>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rPr>
            </w:pPr>
            <w:proofErr w:type="spellStart"/>
            <w:r>
              <w:rPr>
                <w:rFonts w:ascii="Lato" w:eastAsia="Lato" w:hAnsi="Lato" w:cs="Lato"/>
              </w:rPr>
              <w:t>Cavico</w:t>
            </w:r>
            <w:proofErr w:type="spellEnd"/>
            <w:r>
              <w:rPr>
                <w:rFonts w:ascii="Lato" w:eastAsia="Lato" w:hAnsi="Lato" w:cs="Lato"/>
              </w:rPr>
              <w:t xml:space="preserve">, et al, </w:t>
            </w:r>
            <w:hyperlink r:id="rId36">
              <w:r>
                <w:rPr>
                  <w:rFonts w:ascii="Lato" w:eastAsia="Lato" w:hAnsi="Lato" w:cs="Lato"/>
                  <w:color w:val="1155CC"/>
                  <w:u w:val="single"/>
                </w:rPr>
                <w:t xml:space="preserve">“Appearance Discrimination, Lookism, and </w:t>
              </w:r>
              <w:proofErr w:type="spellStart"/>
              <w:r>
                <w:rPr>
                  <w:rFonts w:ascii="Lato" w:eastAsia="Lato" w:hAnsi="Lato" w:cs="Lato"/>
                  <w:color w:val="1155CC"/>
                  <w:u w:val="single"/>
                </w:rPr>
                <w:t>Lookphobia</w:t>
              </w:r>
              <w:proofErr w:type="spellEnd"/>
              <w:r>
                <w:rPr>
                  <w:rFonts w:ascii="Lato" w:eastAsia="Lato" w:hAnsi="Lato" w:cs="Lato"/>
                  <w:color w:val="1155CC"/>
                  <w:u w:val="single"/>
                </w:rPr>
                <w:t xml:space="preserve"> in the Workplace”</w:t>
              </w:r>
            </w:hyperlink>
            <w:r>
              <w:rPr>
                <w:rFonts w:ascii="Lato" w:eastAsia="Lato" w:hAnsi="Lato" w:cs="Lato"/>
              </w:rPr>
              <w:t xml:space="preserve"> </w:t>
            </w:r>
          </w:p>
          <w:p w:rsidR="00043C9C" w:rsidRDefault="00043C9C">
            <w:pPr>
              <w:widowControl w:val="0"/>
              <w:spacing w:line="240" w:lineRule="auto"/>
              <w:rPr>
                <w:rFonts w:ascii="Lato" w:eastAsia="Lato" w:hAnsi="Lato" w:cs="Lato"/>
              </w:rPr>
            </w:pPr>
          </w:p>
          <w:p w:rsidR="00043C9C" w:rsidRDefault="00013188">
            <w:pPr>
              <w:widowControl w:val="0"/>
              <w:spacing w:line="240" w:lineRule="auto"/>
              <w:rPr>
                <w:rFonts w:ascii="Lato" w:eastAsia="Lato" w:hAnsi="Lato" w:cs="Lato"/>
              </w:rPr>
            </w:pPr>
            <w:proofErr w:type="spellStart"/>
            <w:r>
              <w:rPr>
                <w:rFonts w:ascii="Lato" w:eastAsia="Lato" w:hAnsi="Lato" w:cs="Lato"/>
              </w:rPr>
              <w:t>Sagu</w:t>
            </w:r>
            <w:r>
              <w:rPr>
                <w:rFonts w:ascii="Lato" w:eastAsia="Lato" w:hAnsi="Lato" w:cs="Lato"/>
              </w:rPr>
              <w:t>ay</w:t>
            </w:r>
            <w:proofErr w:type="spellEnd"/>
            <w:r>
              <w:rPr>
                <w:rFonts w:ascii="Lato" w:eastAsia="Lato" w:hAnsi="Lato" w:cs="Lato"/>
              </w:rPr>
              <w:t xml:space="preserve"> &amp; Rees,</w:t>
            </w:r>
            <w:hyperlink r:id="rId37">
              <w:r>
                <w:rPr>
                  <w:rFonts w:ascii="Lato" w:eastAsia="Lato" w:hAnsi="Lato" w:cs="Lato"/>
                  <w:color w:val="1155CC"/>
                  <w:u w:val="single"/>
                </w:rPr>
                <w:t xml:space="preserve"> “Gender, Power, Harassment”</w:t>
              </w:r>
            </w:hyperlink>
          </w:p>
          <w:p w:rsidR="00043C9C" w:rsidRDefault="00043C9C">
            <w:pPr>
              <w:widowControl w:val="0"/>
              <w:spacing w:line="240" w:lineRule="auto"/>
              <w:rPr>
                <w:rFonts w:ascii="Lato" w:eastAsia="Lato" w:hAnsi="Lato" w:cs="Lato"/>
              </w:rPr>
            </w:pPr>
          </w:p>
          <w:p w:rsidR="00043C9C" w:rsidRDefault="00013188">
            <w:pPr>
              <w:widowControl w:val="0"/>
              <w:spacing w:line="240" w:lineRule="auto"/>
              <w:rPr>
                <w:rFonts w:ascii="Lato" w:eastAsia="Lato" w:hAnsi="Lato" w:cs="Lato"/>
                <w:i/>
              </w:rPr>
            </w:pPr>
            <w:r>
              <w:rPr>
                <w:rFonts w:ascii="Lato" w:eastAsia="Lato" w:hAnsi="Lato" w:cs="Lato"/>
                <w:i/>
              </w:rPr>
              <w:t>Read 1 Op-ed as your in-class case study:</w:t>
            </w:r>
          </w:p>
          <w:p w:rsidR="00043C9C" w:rsidRDefault="00013188">
            <w:pPr>
              <w:widowControl w:val="0"/>
              <w:spacing w:line="240" w:lineRule="auto"/>
              <w:rPr>
                <w:rFonts w:ascii="Lato" w:eastAsia="Lato" w:hAnsi="Lato" w:cs="Lato"/>
              </w:rPr>
            </w:pPr>
            <w:r>
              <w:rPr>
                <w:rFonts w:ascii="Lato" w:eastAsia="Lato" w:hAnsi="Lato" w:cs="Lato"/>
              </w:rPr>
              <w:t xml:space="preserve">Crenshaw, </w:t>
            </w:r>
            <w:hyperlink r:id="rId38">
              <w:r>
                <w:rPr>
                  <w:rFonts w:ascii="Lato" w:eastAsia="Lato" w:hAnsi="Lato" w:cs="Lato"/>
                  <w:color w:val="1155CC"/>
                  <w:u w:val="single"/>
                </w:rPr>
                <w:t>“Black Women Still in Defense of Ourselves</w:t>
              </w:r>
            </w:hyperlink>
            <w:r>
              <w:rPr>
                <w:rFonts w:ascii="Lato" w:eastAsia="Lato" w:hAnsi="Lato" w:cs="Lato"/>
              </w:rPr>
              <w:t>”</w:t>
            </w:r>
          </w:p>
          <w:p w:rsidR="00043C9C" w:rsidRDefault="00013188">
            <w:pPr>
              <w:widowControl w:val="0"/>
              <w:spacing w:line="240" w:lineRule="auto"/>
              <w:rPr>
                <w:rFonts w:ascii="Lato" w:eastAsia="Lato" w:hAnsi="Lato" w:cs="Lato"/>
              </w:rPr>
            </w:pPr>
            <w:r>
              <w:rPr>
                <w:rFonts w:ascii="Lato" w:eastAsia="Lato" w:hAnsi="Lato" w:cs="Lato"/>
              </w:rPr>
              <w:t xml:space="preserve">Garza, </w:t>
            </w:r>
            <w:hyperlink r:id="rId39">
              <w:r>
                <w:rPr>
                  <w:rFonts w:ascii="Lato" w:eastAsia="Lato" w:hAnsi="Lato" w:cs="Lato"/>
                  <w:color w:val="1155CC"/>
                  <w:u w:val="single"/>
                </w:rPr>
                <w:t xml:space="preserve">“As the Floodgates Open, Don’t Forget about Our Cleaners,  Nannies, and </w:t>
              </w:r>
              <w:proofErr w:type="spellStart"/>
              <w:r>
                <w:rPr>
                  <w:rFonts w:ascii="Lato" w:eastAsia="Lato" w:hAnsi="Lato" w:cs="Lato"/>
                  <w:color w:val="1155CC"/>
                  <w:u w:val="single"/>
                </w:rPr>
                <w:t>Carers</w:t>
              </w:r>
              <w:proofErr w:type="spellEnd"/>
              <w:r>
                <w:rPr>
                  <w:rFonts w:ascii="Lato" w:eastAsia="Lato" w:hAnsi="Lato" w:cs="Lato"/>
                  <w:color w:val="1155CC"/>
                  <w:u w:val="single"/>
                </w:rPr>
                <w:t>”</w:t>
              </w:r>
            </w:hyperlink>
          </w:p>
          <w:p w:rsidR="00043C9C" w:rsidRDefault="00043C9C">
            <w:pPr>
              <w:widowControl w:val="0"/>
              <w:spacing w:line="240" w:lineRule="auto"/>
              <w:rPr>
                <w:rFonts w:ascii="Lato" w:eastAsia="Lato" w:hAnsi="Lato" w:cs="Lato"/>
              </w:rPr>
            </w:pPr>
          </w:p>
          <w:p w:rsidR="00043C9C" w:rsidRDefault="00013188">
            <w:pPr>
              <w:widowControl w:val="0"/>
              <w:spacing w:line="240" w:lineRule="auto"/>
              <w:rPr>
                <w:rFonts w:ascii="Lato" w:eastAsia="Lato" w:hAnsi="Lato" w:cs="Lato"/>
              </w:rPr>
            </w:pPr>
            <w:r>
              <w:rPr>
                <w:rFonts w:ascii="Lato" w:eastAsia="Lato" w:hAnsi="Lato" w:cs="Lato"/>
              </w:rPr>
              <w:t>Bruggeman,</w:t>
            </w:r>
            <w:hyperlink r:id="rId40">
              <w:r>
                <w:rPr>
                  <w:rFonts w:ascii="Lato" w:eastAsia="Lato" w:hAnsi="Lato" w:cs="Lato"/>
                  <w:color w:val="1155CC"/>
                  <w:u w:val="single"/>
                </w:rPr>
                <w:t xml:space="preserve"> “For Male Survivors of Sexual Assault”</w:t>
              </w:r>
            </w:hyperlink>
          </w:p>
        </w:tc>
      </w:tr>
      <w:tr w:rsidR="00043C9C" w:rsidTr="00E05F0D">
        <w:trPr>
          <w:trHeight w:val="420"/>
        </w:trPr>
        <w:tc>
          <w:tcPr>
            <w:tcW w:w="9555" w:type="dxa"/>
            <w:gridSpan w:val="3"/>
            <w:shd w:val="clear" w:color="auto" w:fill="000000"/>
            <w:tcMar>
              <w:top w:w="100" w:type="dxa"/>
              <w:left w:w="100" w:type="dxa"/>
              <w:bottom w:w="100" w:type="dxa"/>
              <w:right w:w="100" w:type="dxa"/>
            </w:tcMar>
          </w:tcPr>
          <w:p w:rsidR="00043C9C" w:rsidRDefault="00013188">
            <w:pPr>
              <w:widowControl w:val="0"/>
              <w:spacing w:line="240" w:lineRule="auto"/>
              <w:jc w:val="center"/>
              <w:rPr>
                <w:rFonts w:ascii="Lato" w:eastAsia="Lato" w:hAnsi="Lato" w:cs="Lato"/>
                <w:b/>
                <w:color w:val="FFFFFF"/>
              </w:rPr>
            </w:pPr>
            <w:r>
              <w:rPr>
                <w:rFonts w:ascii="Lato" w:eastAsia="Lato" w:hAnsi="Lato" w:cs="Lato"/>
                <w:b/>
                <w:color w:val="FFFFFF"/>
              </w:rPr>
              <w:t>Unit 3: Affective Aspects of Gender in the Workplace</w:t>
            </w:r>
          </w:p>
        </w:tc>
      </w:tr>
      <w:tr w:rsidR="00043C9C" w:rsidTr="00E05F0D">
        <w:trPr>
          <w:trHeight w:val="1095"/>
        </w:trPr>
        <w:tc>
          <w:tcPr>
            <w:tcW w:w="1035" w:type="dxa"/>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rPr>
            </w:pPr>
            <w:r>
              <w:rPr>
                <w:rFonts w:ascii="Lato" w:eastAsia="Lato" w:hAnsi="Lato" w:cs="Lato"/>
              </w:rPr>
              <w:t>4/10</w:t>
            </w:r>
          </w:p>
        </w:tc>
        <w:tc>
          <w:tcPr>
            <w:tcW w:w="3525" w:type="dxa"/>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rPr>
            </w:pPr>
            <w:r>
              <w:rPr>
                <w:rFonts w:ascii="Lato" w:eastAsia="Lato" w:hAnsi="Lato" w:cs="Lato"/>
              </w:rPr>
              <w:t xml:space="preserve">Emotional Labor and Gender in the Workplace </w:t>
            </w:r>
          </w:p>
          <w:p w:rsidR="00043C9C" w:rsidRDefault="00043C9C">
            <w:pPr>
              <w:widowControl w:val="0"/>
              <w:spacing w:line="240" w:lineRule="auto"/>
              <w:rPr>
                <w:rFonts w:ascii="Lato" w:eastAsia="Lato" w:hAnsi="Lato" w:cs="Lato"/>
              </w:rPr>
            </w:pPr>
          </w:p>
          <w:p w:rsidR="00043C9C" w:rsidRDefault="00013188">
            <w:pPr>
              <w:widowControl w:val="0"/>
              <w:spacing w:line="240" w:lineRule="auto"/>
              <w:rPr>
                <w:rFonts w:ascii="Lato" w:eastAsia="Lato" w:hAnsi="Lato" w:cs="Lato"/>
              </w:rPr>
            </w:pPr>
            <w:r>
              <w:rPr>
                <w:rFonts w:ascii="Lato" w:eastAsia="Lato" w:hAnsi="Lato" w:cs="Lato"/>
              </w:rPr>
              <w:t xml:space="preserve">T&amp;L </w:t>
            </w:r>
            <w:proofErr w:type="gramStart"/>
            <w:r>
              <w:rPr>
                <w:rFonts w:ascii="Lato" w:eastAsia="Lato" w:hAnsi="Lato" w:cs="Lato"/>
              </w:rPr>
              <w:t>Team:_</w:t>
            </w:r>
            <w:proofErr w:type="gramEnd"/>
            <w:r>
              <w:rPr>
                <w:rFonts w:ascii="Lato" w:eastAsia="Lato" w:hAnsi="Lato" w:cs="Lato"/>
              </w:rPr>
              <w:t>______</w:t>
            </w:r>
          </w:p>
        </w:tc>
        <w:tc>
          <w:tcPr>
            <w:tcW w:w="4995" w:type="dxa"/>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rPr>
            </w:pPr>
            <w:r>
              <w:rPr>
                <w:rFonts w:ascii="Lato" w:eastAsia="Lato" w:hAnsi="Lato" w:cs="Lato"/>
              </w:rPr>
              <w:t xml:space="preserve">Harvey Wingfield, </w:t>
            </w:r>
            <w:hyperlink r:id="rId41">
              <w:r>
                <w:rPr>
                  <w:rFonts w:ascii="Lato" w:eastAsia="Lato" w:hAnsi="Lato" w:cs="Lato"/>
                  <w:color w:val="1155CC"/>
                  <w:u w:val="single"/>
                </w:rPr>
                <w:t>“The Unmanaged Heart”</w:t>
              </w:r>
            </w:hyperlink>
          </w:p>
          <w:p w:rsidR="00043C9C" w:rsidRDefault="00043C9C">
            <w:pPr>
              <w:widowControl w:val="0"/>
              <w:spacing w:line="240" w:lineRule="auto"/>
              <w:rPr>
                <w:rFonts w:ascii="Lato" w:eastAsia="Lato" w:hAnsi="Lato" w:cs="Lato"/>
              </w:rPr>
            </w:pPr>
          </w:p>
          <w:p w:rsidR="00043C9C" w:rsidRDefault="00013188">
            <w:pPr>
              <w:widowControl w:val="0"/>
              <w:spacing w:line="240" w:lineRule="auto"/>
              <w:rPr>
                <w:rFonts w:ascii="Lato" w:eastAsia="Lato" w:hAnsi="Lato" w:cs="Lato"/>
              </w:rPr>
            </w:pPr>
            <w:proofErr w:type="spellStart"/>
            <w:r>
              <w:rPr>
                <w:rFonts w:ascii="Lato" w:eastAsia="Lato" w:hAnsi="Lato" w:cs="Lato"/>
              </w:rPr>
              <w:t>Eschenfelder</w:t>
            </w:r>
            <w:proofErr w:type="spellEnd"/>
            <w:r>
              <w:rPr>
                <w:rFonts w:ascii="Lato" w:eastAsia="Lato" w:hAnsi="Lato" w:cs="Lato"/>
              </w:rPr>
              <w:t xml:space="preserve">, </w:t>
            </w:r>
            <w:hyperlink r:id="rId42">
              <w:r>
                <w:rPr>
                  <w:rFonts w:ascii="Lato" w:eastAsia="Lato" w:hAnsi="Lato" w:cs="Lato"/>
                  <w:color w:val="1155CC"/>
                  <w:u w:val="single"/>
                </w:rPr>
                <w:t xml:space="preserve">“Exploring </w:t>
              </w:r>
              <w:r>
                <w:rPr>
                  <w:rFonts w:ascii="Lato" w:eastAsia="Lato" w:hAnsi="Lato" w:cs="Lato"/>
                  <w:color w:val="1155CC"/>
                  <w:u w:val="single"/>
                </w:rPr>
                <w:t>the Nature of Nonprofit Work Through Emotional Labor”</w:t>
              </w:r>
            </w:hyperlink>
          </w:p>
          <w:p w:rsidR="00043C9C" w:rsidRDefault="00043C9C">
            <w:pPr>
              <w:widowControl w:val="0"/>
              <w:spacing w:line="240" w:lineRule="auto"/>
              <w:rPr>
                <w:rFonts w:ascii="Lato" w:eastAsia="Lato" w:hAnsi="Lato" w:cs="Lato"/>
              </w:rPr>
            </w:pPr>
          </w:p>
          <w:p w:rsidR="00043C9C" w:rsidRDefault="00013188">
            <w:pPr>
              <w:widowControl w:val="0"/>
              <w:spacing w:line="240" w:lineRule="auto"/>
              <w:rPr>
                <w:rFonts w:ascii="Lato" w:eastAsia="Lato" w:hAnsi="Lato" w:cs="Lato"/>
              </w:rPr>
            </w:pPr>
            <w:r>
              <w:rPr>
                <w:rFonts w:ascii="Lato" w:eastAsia="Lato" w:hAnsi="Lato" w:cs="Lato"/>
              </w:rPr>
              <w:t xml:space="preserve">Reference Text: Meier, </w:t>
            </w:r>
            <w:hyperlink r:id="rId43">
              <w:r>
                <w:rPr>
                  <w:rFonts w:ascii="Lato" w:eastAsia="Lato" w:hAnsi="Lato" w:cs="Lato"/>
                  <w:color w:val="1155CC"/>
                  <w:u w:val="single"/>
                </w:rPr>
                <w:t>“Gender and Emotional Labor in Public Organizations”</w:t>
              </w:r>
            </w:hyperlink>
          </w:p>
        </w:tc>
      </w:tr>
      <w:tr w:rsidR="00043C9C" w:rsidTr="00E05F0D">
        <w:tc>
          <w:tcPr>
            <w:tcW w:w="1035" w:type="dxa"/>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rPr>
            </w:pPr>
            <w:r>
              <w:rPr>
                <w:rFonts w:ascii="Lato" w:eastAsia="Lato" w:hAnsi="Lato" w:cs="Lato"/>
              </w:rPr>
              <w:t>4/17</w:t>
            </w:r>
          </w:p>
        </w:tc>
        <w:tc>
          <w:tcPr>
            <w:tcW w:w="3525" w:type="dxa"/>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rPr>
            </w:pPr>
            <w:r>
              <w:rPr>
                <w:rFonts w:ascii="Lato" w:eastAsia="Lato" w:hAnsi="Lato" w:cs="Lato"/>
              </w:rPr>
              <w:t>Care Ethics an</w:t>
            </w:r>
            <w:r>
              <w:rPr>
                <w:rFonts w:ascii="Lato" w:eastAsia="Lato" w:hAnsi="Lato" w:cs="Lato"/>
              </w:rPr>
              <w:t>d the Public Sector Workplace</w:t>
            </w:r>
          </w:p>
          <w:p w:rsidR="00043C9C" w:rsidRDefault="00043C9C">
            <w:pPr>
              <w:widowControl w:val="0"/>
              <w:spacing w:line="240" w:lineRule="auto"/>
              <w:rPr>
                <w:rFonts w:ascii="Lato" w:eastAsia="Lato" w:hAnsi="Lato" w:cs="Lato"/>
              </w:rPr>
            </w:pPr>
          </w:p>
          <w:p w:rsidR="00043C9C" w:rsidRDefault="00013188">
            <w:pPr>
              <w:widowControl w:val="0"/>
              <w:spacing w:line="240" w:lineRule="auto"/>
              <w:rPr>
                <w:rFonts w:ascii="Lato" w:eastAsia="Lato" w:hAnsi="Lato" w:cs="Lato"/>
              </w:rPr>
            </w:pPr>
            <w:r>
              <w:rPr>
                <w:rFonts w:ascii="Lato" w:eastAsia="Lato" w:hAnsi="Lato" w:cs="Lato"/>
              </w:rPr>
              <w:t xml:space="preserve">T&amp;L </w:t>
            </w:r>
            <w:proofErr w:type="gramStart"/>
            <w:r>
              <w:rPr>
                <w:rFonts w:ascii="Lato" w:eastAsia="Lato" w:hAnsi="Lato" w:cs="Lato"/>
              </w:rPr>
              <w:t>Team:_</w:t>
            </w:r>
            <w:proofErr w:type="gramEnd"/>
            <w:r>
              <w:rPr>
                <w:rFonts w:ascii="Lato" w:eastAsia="Lato" w:hAnsi="Lato" w:cs="Lato"/>
              </w:rPr>
              <w:t>______</w:t>
            </w:r>
          </w:p>
        </w:tc>
        <w:tc>
          <w:tcPr>
            <w:tcW w:w="4995" w:type="dxa"/>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rPr>
            </w:pPr>
            <w:proofErr w:type="spellStart"/>
            <w:r>
              <w:rPr>
                <w:rFonts w:ascii="Lato" w:eastAsia="Lato" w:hAnsi="Lato" w:cs="Lato"/>
              </w:rPr>
              <w:t>Tronto</w:t>
            </w:r>
            <w:proofErr w:type="spellEnd"/>
            <w:r>
              <w:rPr>
                <w:rFonts w:ascii="Lato" w:eastAsia="Lato" w:hAnsi="Lato" w:cs="Lato"/>
              </w:rPr>
              <w:t xml:space="preserve">, </w:t>
            </w:r>
            <w:hyperlink r:id="rId44">
              <w:r>
                <w:rPr>
                  <w:rFonts w:ascii="Lato" w:eastAsia="Lato" w:hAnsi="Lato" w:cs="Lato"/>
                  <w:color w:val="1155CC"/>
                  <w:u w:val="single"/>
                </w:rPr>
                <w:t xml:space="preserve">“An Ethic of Care” </w:t>
              </w:r>
            </w:hyperlink>
          </w:p>
          <w:p w:rsidR="00043C9C" w:rsidRDefault="00043C9C">
            <w:pPr>
              <w:widowControl w:val="0"/>
              <w:spacing w:line="240" w:lineRule="auto"/>
              <w:rPr>
                <w:rFonts w:ascii="Lato" w:eastAsia="Lato" w:hAnsi="Lato" w:cs="Lato"/>
              </w:rPr>
            </w:pPr>
          </w:p>
          <w:p w:rsidR="00043C9C" w:rsidRDefault="00013188">
            <w:pPr>
              <w:widowControl w:val="0"/>
              <w:spacing w:line="240" w:lineRule="auto"/>
              <w:rPr>
                <w:rFonts w:ascii="Lato" w:eastAsia="Lato" w:hAnsi="Lato" w:cs="Lato"/>
              </w:rPr>
            </w:pPr>
            <w:r>
              <w:rPr>
                <w:rFonts w:ascii="Lato" w:eastAsia="Lato" w:hAnsi="Lato" w:cs="Lato"/>
              </w:rPr>
              <w:t xml:space="preserve">Sandberg &amp; Elliott, </w:t>
            </w:r>
            <w:hyperlink r:id="rId45">
              <w:r>
                <w:rPr>
                  <w:rFonts w:ascii="Lato" w:eastAsia="Lato" w:hAnsi="Lato" w:cs="Lato"/>
                  <w:color w:val="1155CC"/>
                  <w:u w:val="single"/>
                </w:rPr>
                <w:t>“Toward a Care Centered Approach for Nonprofit Management</w:t>
              </w:r>
            </w:hyperlink>
          </w:p>
          <w:p w:rsidR="00043C9C" w:rsidRDefault="00043C9C">
            <w:pPr>
              <w:widowControl w:val="0"/>
              <w:spacing w:line="240" w:lineRule="auto"/>
              <w:rPr>
                <w:rFonts w:ascii="Lato" w:eastAsia="Lato" w:hAnsi="Lato" w:cs="Lato"/>
              </w:rPr>
            </w:pPr>
          </w:p>
          <w:p w:rsidR="00043C9C" w:rsidRDefault="00013188">
            <w:pPr>
              <w:widowControl w:val="0"/>
              <w:spacing w:line="240" w:lineRule="auto"/>
              <w:rPr>
                <w:rFonts w:ascii="Lato" w:eastAsia="Lato" w:hAnsi="Lato" w:cs="Lato"/>
              </w:rPr>
            </w:pPr>
            <w:r>
              <w:rPr>
                <w:rFonts w:ascii="Lato" w:eastAsia="Lato" w:hAnsi="Lato" w:cs="Lato"/>
              </w:rPr>
              <w:t xml:space="preserve">Reference Text: </w:t>
            </w:r>
            <w:proofErr w:type="spellStart"/>
            <w:r>
              <w:rPr>
                <w:rFonts w:ascii="Lato" w:eastAsia="Lato" w:hAnsi="Lato" w:cs="Lato"/>
              </w:rPr>
              <w:t>Tronto</w:t>
            </w:r>
            <w:proofErr w:type="spellEnd"/>
            <w:r>
              <w:rPr>
                <w:rFonts w:ascii="Lato" w:eastAsia="Lato" w:hAnsi="Lato" w:cs="Lato"/>
              </w:rPr>
              <w:t xml:space="preserve"> </w:t>
            </w:r>
            <w:hyperlink r:id="rId46">
              <w:r>
                <w:rPr>
                  <w:rFonts w:ascii="Lato" w:eastAsia="Lato" w:hAnsi="Lato" w:cs="Lato"/>
                  <w:color w:val="1155CC"/>
                  <w:u w:val="single"/>
                </w:rPr>
                <w:t>video</w:t>
              </w:r>
            </w:hyperlink>
            <w:r>
              <w:rPr>
                <w:rFonts w:ascii="Lato" w:eastAsia="Lato" w:hAnsi="Lato" w:cs="Lato"/>
              </w:rPr>
              <w:t xml:space="preserve"> about care. [duration: 8 min, 49 secs]</w:t>
            </w:r>
          </w:p>
          <w:p w:rsidR="00043C9C" w:rsidRDefault="00043C9C">
            <w:pPr>
              <w:widowControl w:val="0"/>
              <w:spacing w:line="240" w:lineRule="auto"/>
              <w:rPr>
                <w:rFonts w:ascii="Lato" w:eastAsia="Lato" w:hAnsi="Lato" w:cs="Lato"/>
              </w:rPr>
            </w:pPr>
          </w:p>
        </w:tc>
      </w:tr>
      <w:tr w:rsidR="00043C9C" w:rsidTr="00E05F0D">
        <w:tc>
          <w:tcPr>
            <w:tcW w:w="1035" w:type="dxa"/>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rPr>
            </w:pPr>
            <w:r>
              <w:rPr>
                <w:rFonts w:ascii="Lato" w:eastAsia="Lato" w:hAnsi="Lato" w:cs="Lato"/>
              </w:rPr>
              <w:t>4/24</w:t>
            </w:r>
          </w:p>
        </w:tc>
        <w:tc>
          <w:tcPr>
            <w:tcW w:w="3525" w:type="dxa"/>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rPr>
            </w:pPr>
            <w:r>
              <w:rPr>
                <w:rFonts w:ascii="Lato" w:eastAsia="Lato" w:hAnsi="Lato" w:cs="Lato"/>
              </w:rPr>
              <w:t xml:space="preserve">Resistance through Complaint and Power Building </w:t>
            </w:r>
          </w:p>
          <w:p w:rsidR="00043C9C" w:rsidRDefault="00043C9C">
            <w:pPr>
              <w:widowControl w:val="0"/>
              <w:spacing w:line="240" w:lineRule="auto"/>
              <w:rPr>
                <w:rFonts w:ascii="Lato" w:eastAsia="Lato" w:hAnsi="Lato" w:cs="Lato"/>
              </w:rPr>
            </w:pPr>
          </w:p>
          <w:p w:rsidR="00043C9C" w:rsidRDefault="00013188">
            <w:pPr>
              <w:widowControl w:val="0"/>
              <w:spacing w:line="240" w:lineRule="auto"/>
              <w:rPr>
                <w:rFonts w:ascii="Lato" w:eastAsia="Lato" w:hAnsi="Lato" w:cs="Lato"/>
              </w:rPr>
            </w:pPr>
            <w:r>
              <w:rPr>
                <w:rFonts w:ascii="Lato" w:eastAsia="Lato" w:hAnsi="Lato" w:cs="Lato"/>
              </w:rPr>
              <w:t>**In-Class Project Time**</w:t>
            </w:r>
          </w:p>
        </w:tc>
        <w:tc>
          <w:tcPr>
            <w:tcW w:w="4995" w:type="dxa"/>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rPr>
            </w:pPr>
            <w:r>
              <w:rPr>
                <w:rFonts w:ascii="Lato" w:eastAsia="Lato" w:hAnsi="Lato" w:cs="Lato"/>
              </w:rPr>
              <w:t xml:space="preserve">Ahmed, </w:t>
            </w:r>
            <w:hyperlink r:id="rId47">
              <w:r>
                <w:rPr>
                  <w:rFonts w:ascii="Lato" w:eastAsia="Lato" w:hAnsi="Lato" w:cs="Lato"/>
                  <w:color w:val="1155CC"/>
                  <w:u w:val="single"/>
                </w:rPr>
                <w:t>“Hearing Complaint</w:t>
              </w:r>
            </w:hyperlink>
            <w:hyperlink r:id="rId48">
              <w:r>
                <w:rPr>
                  <w:rFonts w:ascii="Lato" w:eastAsia="Lato" w:hAnsi="Lato" w:cs="Lato"/>
                  <w:color w:val="1155CC"/>
                  <w:u w:val="single"/>
                </w:rPr>
                <w:t>”</w:t>
              </w:r>
            </w:hyperlink>
          </w:p>
          <w:p w:rsidR="00043C9C" w:rsidRDefault="00043C9C">
            <w:pPr>
              <w:widowControl w:val="0"/>
              <w:spacing w:line="240" w:lineRule="auto"/>
              <w:rPr>
                <w:rFonts w:ascii="Lato" w:eastAsia="Lato" w:hAnsi="Lato" w:cs="Lato"/>
              </w:rPr>
            </w:pPr>
          </w:p>
          <w:p w:rsidR="00043C9C" w:rsidRDefault="00013188">
            <w:pPr>
              <w:widowControl w:val="0"/>
              <w:spacing w:line="240" w:lineRule="auto"/>
              <w:rPr>
                <w:rFonts w:ascii="Lato" w:eastAsia="Lato" w:hAnsi="Lato" w:cs="Lato"/>
              </w:rPr>
            </w:pPr>
            <w:r>
              <w:rPr>
                <w:rFonts w:ascii="Lato" w:eastAsia="Lato" w:hAnsi="Lato" w:cs="Lato"/>
              </w:rPr>
              <w:t xml:space="preserve">Pinto, et. al, </w:t>
            </w:r>
            <w:hyperlink r:id="rId49">
              <w:r>
                <w:rPr>
                  <w:rFonts w:ascii="Lato" w:eastAsia="Lato" w:hAnsi="Lato" w:cs="Lato"/>
                  <w:color w:val="1155CC"/>
                  <w:u w:val="single"/>
                </w:rPr>
                <w:t>“Healing into Power”</w:t>
              </w:r>
            </w:hyperlink>
          </w:p>
          <w:p w:rsidR="00043C9C" w:rsidRDefault="00043C9C">
            <w:pPr>
              <w:widowControl w:val="0"/>
              <w:spacing w:line="240" w:lineRule="auto"/>
              <w:rPr>
                <w:rFonts w:ascii="Lato" w:eastAsia="Lato" w:hAnsi="Lato" w:cs="Lato"/>
              </w:rPr>
            </w:pPr>
          </w:p>
          <w:p w:rsidR="00043C9C" w:rsidRDefault="00013188">
            <w:pPr>
              <w:widowControl w:val="0"/>
              <w:spacing w:line="240" w:lineRule="auto"/>
              <w:rPr>
                <w:rFonts w:ascii="Lato" w:eastAsia="Lato" w:hAnsi="Lato" w:cs="Lato"/>
              </w:rPr>
            </w:pPr>
            <w:r>
              <w:rPr>
                <w:rFonts w:ascii="Lato" w:eastAsia="Lato" w:hAnsi="Lato" w:cs="Lato"/>
              </w:rPr>
              <w:t>Referenc</w:t>
            </w:r>
            <w:r>
              <w:rPr>
                <w:rFonts w:ascii="Lato" w:eastAsia="Lato" w:hAnsi="Lato" w:cs="Lato"/>
              </w:rPr>
              <w:t xml:space="preserve">e Text: Ahmed </w:t>
            </w:r>
            <w:hyperlink r:id="rId50">
              <w:r>
                <w:rPr>
                  <w:rFonts w:ascii="Lato" w:eastAsia="Lato" w:hAnsi="Lato" w:cs="Lato"/>
                  <w:color w:val="1155CC"/>
                  <w:u w:val="single"/>
                </w:rPr>
                <w:t>video</w:t>
              </w:r>
            </w:hyperlink>
            <w:r>
              <w:rPr>
                <w:rFonts w:ascii="Lato" w:eastAsia="Lato" w:hAnsi="Lato" w:cs="Lato"/>
              </w:rPr>
              <w:t xml:space="preserve"> on complaint, watch from 9:54-14:40 (you are welcome to watch the whole thing but these few minutes relate to the Ahmed reading above)</w:t>
            </w:r>
          </w:p>
        </w:tc>
      </w:tr>
      <w:tr w:rsidR="00043C9C" w:rsidTr="00E05F0D">
        <w:tc>
          <w:tcPr>
            <w:tcW w:w="1035" w:type="dxa"/>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rPr>
            </w:pPr>
            <w:r>
              <w:rPr>
                <w:rFonts w:ascii="Lato" w:eastAsia="Lato" w:hAnsi="Lato" w:cs="Lato"/>
              </w:rPr>
              <w:t>5/1</w:t>
            </w:r>
          </w:p>
        </w:tc>
        <w:tc>
          <w:tcPr>
            <w:tcW w:w="3525" w:type="dxa"/>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rPr>
            </w:pPr>
            <w:r>
              <w:rPr>
                <w:rFonts w:ascii="Lato" w:eastAsia="Lato" w:hAnsi="Lato" w:cs="Lato"/>
              </w:rPr>
              <w:t>Final Presentations</w:t>
            </w:r>
          </w:p>
        </w:tc>
        <w:tc>
          <w:tcPr>
            <w:tcW w:w="4995" w:type="dxa"/>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i/>
              </w:rPr>
            </w:pPr>
            <w:r>
              <w:rPr>
                <w:rFonts w:ascii="Lato" w:eastAsia="Lato" w:hAnsi="Lato" w:cs="Lato"/>
                <w:i/>
              </w:rPr>
              <w:t>No Readings D</w:t>
            </w:r>
            <w:r>
              <w:rPr>
                <w:rFonts w:ascii="Lato" w:eastAsia="Lato" w:hAnsi="Lato" w:cs="Lato"/>
                <w:i/>
              </w:rPr>
              <w:t>ue</w:t>
            </w:r>
          </w:p>
        </w:tc>
      </w:tr>
      <w:tr w:rsidR="00043C9C" w:rsidTr="00E05F0D">
        <w:trPr>
          <w:trHeight w:val="488"/>
        </w:trPr>
        <w:tc>
          <w:tcPr>
            <w:tcW w:w="1035" w:type="dxa"/>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b/>
              </w:rPr>
            </w:pPr>
            <w:r>
              <w:rPr>
                <w:rFonts w:ascii="Lato" w:eastAsia="Lato" w:hAnsi="Lato" w:cs="Lato"/>
                <w:b/>
              </w:rPr>
              <w:t>5/8</w:t>
            </w:r>
          </w:p>
        </w:tc>
        <w:tc>
          <w:tcPr>
            <w:tcW w:w="8520" w:type="dxa"/>
            <w:gridSpan w:val="2"/>
            <w:shd w:val="clear" w:color="auto" w:fill="auto"/>
            <w:tcMar>
              <w:top w:w="100" w:type="dxa"/>
              <w:left w:w="100" w:type="dxa"/>
              <w:bottom w:w="100" w:type="dxa"/>
              <w:right w:w="100" w:type="dxa"/>
            </w:tcMar>
          </w:tcPr>
          <w:p w:rsidR="00043C9C" w:rsidRDefault="00013188">
            <w:pPr>
              <w:widowControl w:val="0"/>
              <w:spacing w:line="240" w:lineRule="auto"/>
              <w:rPr>
                <w:rFonts w:ascii="Lato" w:eastAsia="Lato" w:hAnsi="Lato" w:cs="Lato"/>
                <w:b/>
              </w:rPr>
            </w:pPr>
            <w:r>
              <w:rPr>
                <w:rFonts w:ascii="Lato" w:eastAsia="Lato" w:hAnsi="Lato" w:cs="Lato"/>
                <w:b/>
              </w:rPr>
              <w:t xml:space="preserve">Finals Week - No Class </w:t>
            </w:r>
          </w:p>
        </w:tc>
      </w:tr>
    </w:tbl>
    <w:p w:rsidR="00043C9C" w:rsidRDefault="00013188" w:rsidP="00E05F0D">
      <w:pPr>
        <w:pStyle w:val="Heading1"/>
      </w:pPr>
      <w:r>
        <w:lastRenderedPageBreak/>
        <w:t xml:space="preserve">Assignments and Deadlines </w:t>
      </w:r>
    </w:p>
    <w:p w:rsidR="00043C9C" w:rsidRDefault="00013188">
      <w:pPr>
        <w:spacing w:line="240" w:lineRule="auto"/>
        <w:rPr>
          <w:rFonts w:ascii="Lato" w:eastAsia="Lato" w:hAnsi="Lato" w:cs="Lato"/>
        </w:rPr>
      </w:pPr>
      <w:r>
        <w:rPr>
          <w:rFonts w:ascii="Lato" w:eastAsia="Lato" w:hAnsi="Lato" w:cs="Lato"/>
        </w:rPr>
        <w:t>There are (3) kinds of assignments in this course: Unit 1 and Unit 2 assessments, a Teaching &amp; Learning facilitation, and a Final Group Project. All readings, assignments, and preparation for class must be completed before the start of class as noted in th</w:t>
      </w:r>
      <w:r>
        <w:rPr>
          <w:rFonts w:ascii="Lato" w:eastAsia="Lato" w:hAnsi="Lato" w:cs="Lato"/>
        </w:rPr>
        <w:t xml:space="preserve">e above schedule. You will find full descriptions of the assignments on Brightspace. </w:t>
      </w:r>
    </w:p>
    <w:p w:rsidR="00043C9C" w:rsidRPr="00E05F0D" w:rsidRDefault="00013188" w:rsidP="00E05F0D">
      <w:pPr>
        <w:pStyle w:val="Heading2"/>
        <w:rPr>
          <w:i/>
        </w:rPr>
      </w:pPr>
      <w:r w:rsidRPr="00E05F0D">
        <w:rPr>
          <w:i/>
        </w:rPr>
        <w:t>Quick Overview of Deadlines</w:t>
      </w:r>
    </w:p>
    <w:tbl>
      <w:tblPr>
        <w:tblStyle w:val="a0"/>
        <w:tblW w:w="9794" w:type="dxa"/>
        <w:tblInd w:w="-3" w:type="dxa"/>
        <w:tblLayout w:type="fixed"/>
        <w:tblLook w:val="0420" w:firstRow="1" w:lastRow="0" w:firstColumn="0" w:lastColumn="0" w:noHBand="0" w:noVBand="1"/>
      </w:tblPr>
      <w:tblGrid>
        <w:gridCol w:w="5174"/>
        <w:gridCol w:w="2310"/>
        <w:gridCol w:w="2310"/>
      </w:tblGrid>
      <w:tr w:rsidR="00043C9C" w:rsidTr="00E05F0D">
        <w:tc>
          <w:tcPr>
            <w:tcW w:w="5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3C9C" w:rsidRDefault="00013188">
            <w:pPr>
              <w:spacing w:line="240" w:lineRule="auto"/>
              <w:rPr>
                <w:rFonts w:ascii="Lato" w:eastAsia="Lato" w:hAnsi="Lato" w:cs="Lato"/>
              </w:rPr>
            </w:pPr>
            <w:r>
              <w:rPr>
                <w:rFonts w:ascii="Lato" w:eastAsia="Lato" w:hAnsi="Lato" w:cs="Lato"/>
                <w:b/>
              </w:rPr>
              <w:t>Major Assignments</w:t>
            </w:r>
          </w:p>
        </w:tc>
        <w:tc>
          <w:tcPr>
            <w:tcW w:w="2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3C9C" w:rsidRDefault="00013188">
            <w:pPr>
              <w:spacing w:line="240" w:lineRule="auto"/>
              <w:rPr>
                <w:rFonts w:ascii="Lato" w:eastAsia="Lato" w:hAnsi="Lato" w:cs="Lato"/>
              </w:rPr>
            </w:pPr>
            <w:r>
              <w:rPr>
                <w:rFonts w:ascii="Lato" w:eastAsia="Lato" w:hAnsi="Lato" w:cs="Lato"/>
                <w:b/>
              </w:rPr>
              <w:t>Due Date</w:t>
            </w:r>
          </w:p>
        </w:tc>
        <w:tc>
          <w:tcPr>
            <w:tcW w:w="2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3C9C" w:rsidRDefault="00043C9C">
            <w:pPr>
              <w:spacing w:line="240" w:lineRule="auto"/>
              <w:rPr>
                <w:rFonts w:ascii="Lato" w:eastAsia="Lato" w:hAnsi="Lato" w:cs="Lato"/>
                <w:b/>
              </w:rPr>
            </w:pPr>
          </w:p>
        </w:tc>
      </w:tr>
      <w:tr w:rsidR="00043C9C" w:rsidTr="00E05F0D">
        <w:trPr>
          <w:trHeight w:val="277"/>
        </w:trPr>
        <w:tc>
          <w:tcPr>
            <w:tcW w:w="5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3C9C" w:rsidRDefault="00013188">
            <w:pPr>
              <w:spacing w:line="240" w:lineRule="auto"/>
              <w:rPr>
                <w:rFonts w:ascii="Lato" w:eastAsia="Lato" w:hAnsi="Lato" w:cs="Lato"/>
              </w:rPr>
            </w:pPr>
            <w:r>
              <w:rPr>
                <w:rFonts w:ascii="Lato" w:eastAsia="Lato" w:hAnsi="Lato" w:cs="Lato"/>
              </w:rPr>
              <w:t>Unit 1 Assessment: Gender in the Workplace Autoethnography (Individual)</w:t>
            </w:r>
          </w:p>
        </w:tc>
        <w:tc>
          <w:tcPr>
            <w:tcW w:w="2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3C9C" w:rsidRDefault="00013188">
            <w:pPr>
              <w:spacing w:line="240" w:lineRule="auto"/>
              <w:rPr>
                <w:rFonts w:ascii="Lato" w:eastAsia="Lato" w:hAnsi="Lato" w:cs="Lato"/>
              </w:rPr>
            </w:pPr>
            <w:r>
              <w:rPr>
                <w:rFonts w:ascii="Lato" w:eastAsia="Lato" w:hAnsi="Lato" w:cs="Lato"/>
              </w:rPr>
              <w:t>3/4, 12pm EDT</w:t>
            </w:r>
          </w:p>
        </w:tc>
        <w:tc>
          <w:tcPr>
            <w:tcW w:w="2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3C9C" w:rsidRDefault="00013188">
            <w:pPr>
              <w:spacing w:line="240" w:lineRule="auto"/>
              <w:rPr>
                <w:rFonts w:ascii="Lato" w:eastAsia="Lato" w:hAnsi="Lato" w:cs="Lato"/>
              </w:rPr>
            </w:pPr>
            <w:r>
              <w:rPr>
                <w:rFonts w:ascii="Lato" w:eastAsia="Lato" w:hAnsi="Lato" w:cs="Lato"/>
              </w:rPr>
              <w:t>20%</w:t>
            </w:r>
          </w:p>
        </w:tc>
      </w:tr>
      <w:tr w:rsidR="00043C9C" w:rsidTr="00E05F0D">
        <w:trPr>
          <w:trHeight w:val="277"/>
        </w:trPr>
        <w:tc>
          <w:tcPr>
            <w:tcW w:w="5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3C9C" w:rsidRDefault="00013188">
            <w:pPr>
              <w:spacing w:line="240" w:lineRule="auto"/>
              <w:rPr>
                <w:rFonts w:ascii="Lato" w:eastAsia="Lato" w:hAnsi="Lato" w:cs="Lato"/>
              </w:rPr>
            </w:pPr>
            <w:r>
              <w:rPr>
                <w:rFonts w:ascii="Lato" w:eastAsia="Lato" w:hAnsi="Lato" w:cs="Lato"/>
              </w:rPr>
              <w:t>Unit 2 Assessment</w:t>
            </w:r>
            <w:r>
              <w:rPr>
                <w:rFonts w:ascii="Lato" w:eastAsia="Lato" w:hAnsi="Lato" w:cs="Lato"/>
              </w:rPr>
              <w:t>: “Take it Outside” Interview (Individual)</w:t>
            </w:r>
          </w:p>
        </w:tc>
        <w:tc>
          <w:tcPr>
            <w:tcW w:w="2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3C9C" w:rsidRDefault="00013188">
            <w:pPr>
              <w:spacing w:line="240" w:lineRule="auto"/>
              <w:rPr>
                <w:rFonts w:ascii="Lato" w:eastAsia="Lato" w:hAnsi="Lato" w:cs="Lato"/>
              </w:rPr>
            </w:pPr>
            <w:r>
              <w:rPr>
                <w:rFonts w:ascii="Lato" w:eastAsia="Lato" w:hAnsi="Lato" w:cs="Lato"/>
              </w:rPr>
              <w:t xml:space="preserve">4/8, 12pm EDT </w:t>
            </w:r>
          </w:p>
        </w:tc>
        <w:tc>
          <w:tcPr>
            <w:tcW w:w="2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3C9C" w:rsidRDefault="00013188">
            <w:pPr>
              <w:spacing w:line="240" w:lineRule="auto"/>
              <w:rPr>
                <w:rFonts w:ascii="Lato" w:eastAsia="Lato" w:hAnsi="Lato" w:cs="Lato"/>
              </w:rPr>
            </w:pPr>
            <w:r>
              <w:rPr>
                <w:rFonts w:ascii="Lato" w:eastAsia="Lato" w:hAnsi="Lato" w:cs="Lato"/>
              </w:rPr>
              <w:t>20%</w:t>
            </w:r>
          </w:p>
        </w:tc>
      </w:tr>
      <w:tr w:rsidR="00043C9C" w:rsidTr="00E05F0D">
        <w:trPr>
          <w:trHeight w:val="277"/>
        </w:trPr>
        <w:tc>
          <w:tcPr>
            <w:tcW w:w="5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3C9C" w:rsidRDefault="00013188">
            <w:pPr>
              <w:spacing w:line="240" w:lineRule="auto"/>
              <w:rPr>
                <w:rFonts w:ascii="Lato" w:eastAsia="Lato" w:hAnsi="Lato" w:cs="Lato"/>
              </w:rPr>
            </w:pPr>
            <w:r>
              <w:rPr>
                <w:rFonts w:ascii="Lato" w:eastAsia="Lato" w:hAnsi="Lato" w:cs="Lato"/>
              </w:rPr>
              <w:t xml:space="preserve">T&amp;L </w:t>
            </w:r>
            <w:proofErr w:type="gramStart"/>
            <w:r>
              <w:rPr>
                <w:rFonts w:ascii="Lato" w:eastAsia="Lato" w:hAnsi="Lato" w:cs="Lato"/>
              </w:rPr>
              <w:t>Facilitation  (</w:t>
            </w:r>
            <w:proofErr w:type="gramEnd"/>
            <w:r>
              <w:rPr>
                <w:rFonts w:ascii="Lato" w:eastAsia="Lato" w:hAnsi="Lato" w:cs="Lato"/>
              </w:rPr>
              <w:t>Pairs)</w:t>
            </w:r>
          </w:p>
        </w:tc>
        <w:tc>
          <w:tcPr>
            <w:tcW w:w="2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3C9C" w:rsidRDefault="00013188">
            <w:pPr>
              <w:spacing w:line="240" w:lineRule="auto"/>
              <w:rPr>
                <w:rFonts w:ascii="Lato" w:eastAsia="Lato" w:hAnsi="Lato" w:cs="Lato"/>
              </w:rPr>
            </w:pPr>
            <w:r>
              <w:rPr>
                <w:rFonts w:ascii="Lato" w:eastAsia="Lato" w:hAnsi="Lato" w:cs="Lato"/>
              </w:rPr>
              <w:t xml:space="preserve">Dates will vary by pairs - see Brightspace </w:t>
            </w:r>
          </w:p>
        </w:tc>
        <w:tc>
          <w:tcPr>
            <w:tcW w:w="2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3C9C" w:rsidRDefault="00013188">
            <w:pPr>
              <w:spacing w:line="240" w:lineRule="auto"/>
              <w:rPr>
                <w:rFonts w:ascii="Lato" w:eastAsia="Lato" w:hAnsi="Lato" w:cs="Lato"/>
              </w:rPr>
            </w:pPr>
            <w:r>
              <w:rPr>
                <w:rFonts w:ascii="Lato" w:eastAsia="Lato" w:hAnsi="Lato" w:cs="Lato"/>
              </w:rPr>
              <w:t>15%</w:t>
            </w:r>
          </w:p>
        </w:tc>
      </w:tr>
      <w:tr w:rsidR="00043C9C" w:rsidTr="00E05F0D">
        <w:tc>
          <w:tcPr>
            <w:tcW w:w="5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3C9C" w:rsidRDefault="00013188">
            <w:pPr>
              <w:spacing w:line="240" w:lineRule="auto"/>
              <w:rPr>
                <w:rFonts w:ascii="Lato" w:eastAsia="Lato" w:hAnsi="Lato" w:cs="Lato"/>
              </w:rPr>
            </w:pPr>
            <w:r>
              <w:rPr>
                <w:rFonts w:ascii="Lato" w:eastAsia="Lato" w:hAnsi="Lato" w:cs="Lato"/>
              </w:rPr>
              <w:t>Final Project: Policy Brief + Advocacy Tool (Group)</w:t>
            </w:r>
          </w:p>
        </w:tc>
        <w:tc>
          <w:tcPr>
            <w:tcW w:w="2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3C9C" w:rsidRDefault="00013188">
            <w:pPr>
              <w:spacing w:line="240" w:lineRule="auto"/>
              <w:rPr>
                <w:rFonts w:ascii="Lato" w:eastAsia="Lato" w:hAnsi="Lato" w:cs="Lato"/>
              </w:rPr>
            </w:pPr>
            <w:r>
              <w:rPr>
                <w:rFonts w:ascii="Lato" w:eastAsia="Lato" w:hAnsi="Lato" w:cs="Lato"/>
              </w:rPr>
              <w:t>5/1, 4pm EDT</w:t>
            </w:r>
          </w:p>
        </w:tc>
        <w:tc>
          <w:tcPr>
            <w:tcW w:w="2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3C9C" w:rsidRDefault="00013188">
            <w:pPr>
              <w:spacing w:line="240" w:lineRule="auto"/>
              <w:rPr>
                <w:rFonts w:ascii="Lato" w:eastAsia="Lato" w:hAnsi="Lato" w:cs="Lato"/>
              </w:rPr>
            </w:pPr>
            <w:r>
              <w:rPr>
                <w:rFonts w:ascii="Lato" w:eastAsia="Lato" w:hAnsi="Lato" w:cs="Lato"/>
              </w:rPr>
              <w:t>30%</w:t>
            </w:r>
          </w:p>
        </w:tc>
      </w:tr>
      <w:tr w:rsidR="00043C9C" w:rsidTr="00E05F0D">
        <w:tc>
          <w:tcPr>
            <w:tcW w:w="5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3C9C" w:rsidRDefault="00013188">
            <w:pPr>
              <w:spacing w:line="240" w:lineRule="auto"/>
              <w:rPr>
                <w:rFonts w:ascii="Lato" w:eastAsia="Lato" w:hAnsi="Lato" w:cs="Lato"/>
              </w:rPr>
            </w:pPr>
            <w:r>
              <w:rPr>
                <w:rFonts w:ascii="Lato" w:eastAsia="Lato" w:hAnsi="Lato" w:cs="Lato"/>
              </w:rPr>
              <w:t xml:space="preserve">Weekly In-class Participation  </w:t>
            </w:r>
          </w:p>
        </w:tc>
        <w:tc>
          <w:tcPr>
            <w:tcW w:w="2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3C9C" w:rsidRDefault="00013188">
            <w:pPr>
              <w:spacing w:line="240" w:lineRule="auto"/>
              <w:rPr>
                <w:rFonts w:ascii="Lato" w:eastAsia="Lato" w:hAnsi="Lato" w:cs="Lato"/>
              </w:rPr>
            </w:pPr>
            <w:r>
              <w:rPr>
                <w:rFonts w:ascii="Lato" w:eastAsia="Lato" w:hAnsi="Lato" w:cs="Lato"/>
              </w:rPr>
              <w:t>ongoing</w:t>
            </w:r>
          </w:p>
        </w:tc>
        <w:tc>
          <w:tcPr>
            <w:tcW w:w="23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3C9C" w:rsidRDefault="00013188">
            <w:pPr>
              <w:spacing w:line="240" w:lineRule="auto"/>
              <w:rPr>
                <w:rFonts w:ascii="Lato" w:eastAsia="Lato" w:hAnsi="Lato" w:cs="Lato"/>
              </w:rPr>
            </w:pPr>
            <w:r>
              <w:rPr>
                <w:rFonts w:ascii="Lato" w:eastAsia="Lato" w:hAnsi="Lato" w:cs="Lato"/>
              </w:rPr>
              <w:t>15%</w:t>
            </w:r>
          </w:p>
        </w:tc>
      </w:tr>
    </w:tbl>
    <w:p w:rsidR="00043C9C" w:rsidRDefault="00013188" w:rsidP="00E05F0D">
      <w:pPr>
        <w:pStyle w:val="Heading1"/>
      </w:pPr>
      <w:r>
        <w:t>A Note on In-Class Participation</w:t>
      </w:r>
    </w:p>
    <w:p w:rsidR="00043C9C" w:rsidRDefault="00013188">
      <w:pPr>
        <w:spacing w:line="256" w:lineRule="auto"/>
        <w:ind w:right="520"/>
        <w:rPr>
          <w:rFonts w:ascii="Lato" w:eastAsia="Lato" w:hAnsi="Lato" w:cs="Lato"/>
        </w:rPr>
      </w:pPr>
      <w:r>
        <w:rPr>
          <w:rFonts w:ascii="Lato" w:eastAsia="Lato" w:hAnsi="Lato" w:cs="Lato"/>
        </w:rPr>
        <w:t>Each of us brings different and relevant experiences to the classroom, so we will be learning from each other, challenging our assumptions, and trying to understand the reasoning that underlies our emergent understanding of</w:t>
      </w:r>
      <w:r>
        <w:rPr>
          <w:rFonts w:ascii="Lato" w:eastAsia="Lato" w:hAnsi="Lato" w:cs="Lato"/>
        </w:rPr>
        <w:t xml:space="preserve"> each week’s topics.  The only way to develop a sharp analysis and contribute insightful comments to the class is to read the articles carefully by having annotated and prepared questions and comments for in-class discussions.</w:t>
      </w:r>
    </w:p>
    <w:p w:rsidR="00043C9C" w:rsidRDefault="00013188" w:rsidP="00E05F0D">
      <w:pPr>
        <w:pStyle w:val="Heading1"/>
      </w:pPr>
      <w:r>
        <w:t>Statement of Academic Integr</w:t>
      </w:r>
      <w:r>
        <w:t>ity</w:t>
      </w:r>
    </w:p>
    <w:p w:rsidR="00043C9C" w:rsidRDefault="00013188">
      <w:pPr>
        <w:spacing w:line="240" w:lineRule="auto"/>
        <w:rPr>
          <w:rFonts w:ascii="Lato" w:eastAsia="Lato" w:hAnsi="Lato" w:cs="Lato"/>
        </w:rPr>
      </w:pPr>
      <w:r>
        <w:rPr>
          <w:rFonts w:ascii="Lato" w:eastAsia="Lato" w:hAnsi="Lato" w:cs="Lato"/>
        </w:rPr>
        <w:t>All students enrolled in this class are required to read and abide by</w:t>
      </w:r>
      <w:hyperlink r:id="rId51">
        <w:r>
          <w:rPr>
            <w:rFonts w:ascii="Lato" w:eastAsia="Lato" w:hAnsi="Lato" w:cs="Lato"/>
            <w:color w:val="1155CC"/>
            <w:u w:val="single"/>
          </w:rPr>
          <w:t xml:space="preserve"> Wagner’s Academic Code</w:t>
        </w:r>
      </w:hyperlink>
      <w:r>
        <w:rPr>
          <w:rFonts w:ascii="Lato" w:eastAsia="Lato" w:hAnsi="Lato" w:cs="Lato"/>
        </w:rPr>
        <w:t xml:space="preserve">. All Wagner students have already read and signed the </w:t>
      </w:r>
      <w:hyperlink r:id="rId52">
        <w:r>
          <w:rPr>
            <w:rFonts w:ascii="Lato" w:eastAsia="Lato" w:hAnsi="Lato" w:cs="Lato"/>
            <w:color w:val="1155CC"/>
            <w:u w:val="single"/>
          </w:rPr>
          <w:t>Wagner Academic Oath</w:t>
        </w:r>
      </w:hyperlink>
      <w:r>
        <w:rPr>
          <w:rFonts w:ascii="Lato" w:eastAsia="Lato" w:hAnsi="Lato" w:cs="Lato"/>
        </w:rPr>
        <w:t>. Plagiarism of any form will not be tolerated and students in this class are expected to report violations to me. If you are unsure about what is expected and how to abide by the academic</w:t>
      </w:r>
      <w:r>
        <w:rPr>
          <w:rFonts w:ascii="Lato" w:eastAsia="Lato" w:hAnsi="Lato" w:cs="Lato"/>
        </w:rPr>
        <w:t xml:space="preserve"> code, you should consult with me.</w:t>
      </w:r>
    </w:p>
    <w:p w:rsidR="00043C9C" w:rsidRDefault="00013188" w:rsidP="00E05F0D">
      <w:pPr>
        <w:pStyle w:val="Heading1"/>
      </w:pPr>
      <w:proofErr w:type="spellStart"/>
      <w:r>
        <w:t>ChatGPT</w:t>
      </w:r>
      <w:proofErr w:type="spellEnd"/>
      <w:r>
        <w:t xml:space="preserve"> Guidance</w:t>
      </w:r>
    </w:p>
    <w:p w:rsidR="00043C9C" w:rsidRDefault="00013188">
      <w:pPr>
        <w:shd w:val="clear" w:color="auto" w:fill="FFFFFF"/>
        <w:spacing w:line="240" w:lineRule="auto"/>
        <w:rPr>
          <w:rFonts w:ascii="Lato" w:eastAsia="Lato" w:hAnsi="Lato" w:cs="Lato"/>
          <w:b/>
        </w:rPr>
      </w:pPr>
      <w:r>
        <w:rPr>
          <w:rFonts w:ascii="Lato" w:eastAsia="Lato" w:hAnsi="Lato" w:cs="Lato"/>
        </w:rPr>
        <w:t>The</w:t>
      </w:r>
      <w:hyperlink r:id="rId53">
        <w:r>
          <w:rPr>
            <w:rFonts w:ascii="Lato" w:eastAsia="Lato" w:hAnsi="Lato" w:cs="Lato"/>
            <w:color w:val="1155CC"/>
            <w:u w:val="single"/>
          </w:rPr>
          <w:t xml:space="preserve"> policies of Wagner</w:t>
        </w:r>
      </w:hyperlink>
      <w:r>
        <w:rPr>
          <w:rFonts w:ascii="Lato" w:eastAsia="Lato" w:hAnsi="Lato" w:cs="Lato"/>
        </w:rPr>
        <w:t xml:space="preserve"> require that you complete and submit</w:t>
      </w:r>
      <w:r>
        <w:rPr>
          <w:rFonts w:ascii="Lato" w:eastAsia="Lato" w:hAnsi="Lato" w:cs="Lato"/>
        </w:rPr>
        <w:t xml:space="preserve"> your own work. If you use </w:t>
      </w:r>
      <w:proofErr w:type="spellStart"/>
      <w:r>
        <w:rPr>
          <w:rFonts w:ascii="Lato" w:eastAsia="Lato" w:hAnsi="Lato" w:cs="Lato"/>
        </w:rPr>
        <w:t>ChatGPT</w:t>
      </w:r>
      <w:proofErr w:type="spellEnd"/>
      <w:r>
        <w:rPr>
          <w:rFonts w:ascii="Lato" w:eastAsia="Lato" w:hAnsi="Lato" w:cs="Lato"/>
        </w:rPr>
        <w:t>, Bard, and other generative AI tools in your work, you must cite them. If you don’t, this violates the school’s norms, and you will be held to the guidance outlined in</w:t>
      </w:r>
      <w:hyperlink r:id="rId54" w:anchor="sec-B1">
        <w:r>
          <w:rPr>
            <w:rFonts w:ascii="Lato" w:eastAsia="Lato" w:hAnsi="Lato" w:cs="Lato"/>
            <w:color w:val="1155CC"/>
            <w:u w:val="single"/>
          </w:rPr>
          <w:t xml:space="preserve"> Wagner’s Academic Integrity Policy </w:t>
        </w:r>
      </w:hyperlink>
      <w:r>
        <w:rPr>
          <w:rFonts w:ascii="Lato" w:eastAsia="Lato" w:hAnsi="Lato" w:cs="Lato"/>
        </w:rPr>
        <w:t xml:space="preserve">. </w:t>
      </w:r>
    </w:p>
    <w:p w:rsidR="00043C9C" w:rsidRDefault="00013188" w:rsidP="00E05F0D">
      <w:pPr>
        <w:pStyle w:val="Heading1"/>
      </w:pPr>
      <w:r>
        <w:t xml:space="preserve">Professor J’s Classroom Policies </w:t>
      </w:r>
    </w:p>
    <w:p w:rsidR="00043C9C" w:rsidRDefault="00013188">
      <w:pPr>
        <w:numPr>
          <w:ilvl w:val="0"/>
          <w:numId w:val="2"/>
        </w:numPr>
        <w:spacing w:line="240" w:lineRule="auto"/>
        <w:rPr>
          <w:rFonts w:ascii="Lato" w:eastAsia="Lato" w:hAnsi="Lato" w:cs="Lato"/>
        </w:rPr>
      </w:pPr>
      <w:r>
        <w:rPr>
          <w:rFonts w:ascii="Lato" w:eastAsia="Lato" w:hAnsi="Lato" w:cs="Lato"/>
          <w:i/>
        </w:rPr>
        <w:t xml:space="preserve">Attendance and Punctuality: </w:t>
      </w:r>
      <w:r>
        <w:rPr>
          <w:rFonts w:ascii="Lato" w:eastAsia="Lato" w:hAnsi="Lato" w:cs="Lato"/>
        </w:rPr>
        <w:t>You are expected to attend all class sessions and arrive to class on time. Please email me if they will miss class and it is the responsibility of the student to make up all work if absent from class.  If more than three or more unexcused absences, your fi</w:t>
      </w:r>
      <w:r>
        <w:rPr>
          <w:rFonts w:ascii="Lato" w:eastAsia="Lato" w:hAnsi="Lato" w:cs="Lato"/>
        </w:rPr>
        <w:t xml:space="preserve">nal grade will be negatively reflected in your participation grade. For prolonged absences, the student must notify me, your academic advisor and/or The Dean’s Office. </w:t>
      </w:r>
    </w:p>
    <w:p w:rsidR="00043C9C" w:rsidRDefault="00013188">
      <w:pPr>
        <w:numPr>
          <w:ilvl w:val="0"/>
          <w:numId w:val="2"/>
        </w:numPr>
        <w:spacing w:line="240" w:lineRule="auto"/>
        <w:rPr>
          <w:rFonts w:ascii="Lato" w:eastAsia="Lato" w:hAnsi="Lato" w:cs="Lato"/>
        </w:rPr>
      </w:pPr>
      <w:r>
        <w:rPr>
          <w:rFonts w:ascii="Lato" w:eastAsia="Lato" w:hAnsi="Lato" w:cs="Lato"/>
          <w:i/>
        </w:rPr>
        <w:lastRenderedPageBreak/>
        <w:t>Changes to readings/assignments:</w:t>
      </w:r>
      <w:r>
        <w:rPr>
          <w:rFonts w:ascii="Lato" w:eastAsia="Lato" w:hAnsi="Lato" w:cs="Lato"/>
        </w:rPr>
        <w:t xml:space="preserve"> This syllabus is subject to change. Pre-assigned readi</w:t>
      </w:r>
      <w:r>
        <w:rPr>
          <w:rFonts w:ascii="Lato" w:eastAsia="Lato" w:hAnsi="Lato" w:cs="Lato"/>
        </w:rPr>
        <w:t xml:space="preserve">ngs may be adjusted and occasionally supplemental reading or small exercises may be added throughout the course to enhance learning. If this is the case, I will update the assignments or </w:t>
      </w:r>
      <w:proofErr w:type="gramStart"/>
      <w:r>
        <w:rPr>
          <w:rFonts w:ascii="Lato" w:eastAsia="Lato" w:hAnsi="Lato" w:cs="Lato"/>
        </w:rPr>
        <w:t>make adjustments</w:t>
      </w:r>
      <w:proofErr w:type="gramEnd"/>
      <w:r>
        <w:rPr>
          <w:rFonts w:ascii="Lato" w:eastAsia="Lato" w:hAnsi="Lato" w:cs="Lato"/>
        </w:rPr>
        <w:t xml:space="preserve"> on Brightspace at least one week before the due date</w:t>
      </w:r>
      <w:r>
        <w:rPr>
          <w:rFonts w:ascii="Lato" w:eastAsia="Lato" w:hAnsi="Lato" w:cs="Lato"/>
        </w:rPr>
        <w:t xml:space="preserve">. My goal is to notify you with plenty of time for anything that might affect your schedule and workload.  </w:t>
      </w:r>
    </w:p>
    <w:p w:rsidR="00043C9C" w:rsidRDefault="00013188">
      <w:pPr>
        <w:numPr>
          <w:ilvl w:val="0"/>
          <w:numId w:val="2"/>
        </w:numPr>
        <w:spacing w:line="240" w:lineRule="auto"/>
        <w:rPr>
          <w:rFonts w:ascii="Lato" w:eastAsia="Lato" w:hAnsi="Lato" w:cs="Lato"/>
        </w:rPr>
      </w:pPr>
      <w:r>
        <w:rPr>
          <w:rFonts w:ascii="Lato" w:eastAsia="Lato" w:hAnsi="Lato" w:cs="Lato"/>
          <w:i/>
        </w:rPr>
        <w:t xml:space="preserve">Late assignments: </w:t>
      </w:r>
      <w:r>
        <w:rPr>
          <w:rFonts w:ascii="Lato" w:eastAsia="Lato" w:hAnsi="Lato" w:cs="Lato"/>
        </w:rPr>
        <w:t>Please request permission from me at least 48 hours in advance of the due date if you expect your assignment to be late. Late assignments without prior notification will result in a Zero grade or F.  If more than three or more assignments are late in the c</w:t>
      </w:r>
      <w:r>
        <w:rPr>
          <w:rFonts w:ascii="Lato" w:eastAsia="Lato" w:hAnsi="Lato" w:cs="Lato"/>
        </w:rPr>
        <w:t>ourse without prior notification, your final grade will be negatively affected. Approved extenuating circumstances do not apply in this case.</w:t>
      </w:r>
    </w:p>
    <w:p w:rsidR="00043C9C" w:rsidRDefault="00013188">
      <w:pPr>
        <w:numPr>
          <w:ilvl w:val="0"/>
          <w:numId w:val="2"/>
        </w:numPr>
        <w:spacing w:line="240" w:lineRule="auto"/>
        <w:rPr>
          <w:rFonts w:ascii="Lato" w:eastAsia="Lato" w:hAnsi="Lato" w:cs="Lato"/>
        </w:rPr>
      </w:pPr>
      <w:r>
        <w:rPr>
          <w:rFonts w:ascii="Lato" w:eastAsia="Lato" w:hAnsi="Lato" w:cs="Lato"/>
          <w:i/>
        </w:rPr>
        <w:t>Revise &amp; Resubmit:</w:t>
      </w:r>
      <w:r>
        <w:rPr>
          <w:rFonts w:ascii="Lato" w:eastAsia="Lato" w:hAnsi="Lato" w:cs="Lato"/>
        </w:rPr>
        <w:t xml:space="preserve"> Towards the goal of continuous improvement, I welcome revised and re-submitted (R&amp;R) assignment</w:t>
      </w:r>
      <w:r>
        <w:rPr>
          <w:rFonts w:ascii="Lato" w:eastAsia="Lato" w:hAnsi="Lato" w:cs="Lato"/>
        </w:rPr>
        <w:t xml:space="preserve">s for re-grading. This must be arranged with me to finalize a revised deadline. Late assignments are </w:t>
      </w:r>
      <w:r>
        <w:rPr>
          <w:rFonts w:ascii="Lato" w:eastAsia="Lato" w:hAnsi="Lato" w:cs="Lato"/>
          <w:u w:val="single"/>
        </w:rPr>
        <w:t>not eligible</w:t>
      </w:r>
      <w:r>
        <w:rPr>
          <w:rFonts w:ascii="Lato" w:eastAsia="Lato" w:hAnsi="Lato" w:cs="Lato"/>
        </w:rPr>
        <w:t xml:space="preserve"> for “revise and resubmit” consideration. You exercise this policy only once per semester. Choose your R&amp;R assignment carefully! </w:t>
      </w:r>
    </w:p>
    <w:p w:rsidR="00043C9C" w:rsidRDefault="00013188">
      <w:pPr>
        <w:numPr>
          <w:ilvl w:val="0"/>
          <w:numId w:val="1"/>
        </w:numPr>
        <w:spacing w:line="240" w:lineRule="auto"/>
        <w:rPr>
          <w:rFonts w:ascii="Lato" w:eastAsia="Lato" w:hAnsi="Lato" w:cs="Lato"/>
        </w:rPr>
      </w:pPr>
      <w:r>
        <w:rPr>
          <w:rFonts w:ascii="Lato" w:eastAsia="Lato" w:hAnsi="Lato" w:cs="Lato"/>
          <w:i/>
        </w:rPr>
        <w:t>Eating &amp; Drin</w:t>
      </w:r>
      <w:r>
        <w:rPr>
          <w:rFonts w:ascii="Lato" w:eastAsia="Lato" w:hAnsi="Lato" w:cs="Lato"/>
          <w:i/>
        </w:rPr>
        <w:t xml:space="preserve">king: </w:t>
      </w:r>
      <w:r>
        <w:rPr>
          <w:rFonts w:ascii="Lato" w:eastAsia="Lato" w:hAnsi="Lato" w:cs="Lato"/>
        </w:rPr>
        <w:t>Eating and drinking are permitted as long as your meal does not interfere with teaching and learning (i.e., loud eating sounds and packaging, etc.)</w:t>
      </w:r>
    </w:p>
    <w:p w:rsidR="00E05F0D" w:rsidRPr="00E05F0D" w:rsidRDefault="00013188" w:rsidP="00E05F0D">
      <w:pPr>
        <w:numPr>
          <w:ilvl w:val="0"/>
          <w:numId w:val="1"/>
        </w:numPr>
        <w:spacing w:line="240" w:lineRule="auto"/>
        <w:rPr>
          <w:rFonts w:ascii="Lato" w:eastAsia="Lato" w:hAnsi="Lato" w:cs="Lato"/>
          <w:b/>
        </w:rPr>
      </w:pPr>
      <w:r>
        <w:rPr>
          <w:rFonts w:ascii="Lato" w:eastAsia="Lato" w:hAnsi="Lato" w:cs="Lato"/>
          <w:i/>
        </w:rPr>
        <w:t xml:space="preserve">Tech in Class: </w:t>
      </w:r>
      <w:r>
        <w:rPr>
          <w:rFonts w:ascii="Lato" w:eastAsia="Lato" w:hAnsi="Lato" w:cs="Lato"/>
        </w:rPr>
        <w:t xml:space="preserve">Cell phones, smartphones/smart devices, tablets, and laptops should not be used during </w:t>
      </w:r>
      <w:r>
        <w:rPr>
          <w:rFonts w:ascii="Lato" w:eastAsia="Lato" w:hAnsi="Lato" w:cs="Lato"/>
        </w:rPr>
        <w:t>class unless otherwise specified.</w:t>
      </w:r>
    </w:p>
    <w:p w:rsidR="00043C9C" w:rsidRDefault="00013188" w:rsidP="00E05F0D">
      <w:pPr>
        <w:pStyle w:val="Heading1"/>
      </w:pPr>
      <w:r>
        <w:t>NYU’s Calendar Policy on Religious Holidays</w:t>
      </w:r>
    </w:p>
    <w:p w:rsidR="00043C9C" w:rsidRDefault="00013188">
      <w:pPr>
        <w:spacing w:line="240" w:lineRule="auto"/>
        <w:rPr>
          <w:rFonts w:ascii="Lato" w:eastAsia="Lato" w:hAnsi="Lato" w:cs="Lato"/>
        </w:rPr>
      </w:pPr>
      <w:hyperlink r:id="rId55">
        <w:r>
          <w:rPr>
            <w:rFonts w:ascii="Lato" w:eastAsia="Lato" w:hAnsi="Lato" w:cs="Lato"/>
            <w:color w:val="1155CC"/>
            <w:u w:val="single"/>
          </w:rPr>
          <w:t>NYU’s Calendar Policy</w:t>
        </w:r>
        <w:r>
          <w:rPr>
            <w:rFonts w:ascii="Lato" w:eastAsia="Lato" w:hAnsi="Lato" w:cs="Lato"/>
            <w:color w:val="1155CC"/>
            <w:u w:val="single"/>
          </w:rPr>
          <w:t xml:space="preserve"> on Religious Holidays</w:t>
        </w:r>
      </w:hyperlink>
      <w:r>
        <w:rPr>
          <w:rFonts w:ascii="Lato" w:eastAsia="Lato" w:hAnsi="Lato" w:cs="Lato"/>
        </w:rPr>
        <w:t xml:space="preserve"> states that members of any religious group may, without penalty, absent themselves from classes when required in compliance with their religious obligations. Please email me at least one week prior to the next class if you should be </w:t>
      </w:r>
      <w:r>
        <w:rPr>
          <w:rFonts w:ascii="Lato" w:eastAsia="Lato" w:hAnsi="Lato" w:cs="Lato"/>
        </w:rPr>
        <w:t xml:space="preserve">absent for a religious holiday. </w:t>
      </w:r>
    </w:p>
    <w:p w:rsidR="00043C9C" w:rsidRDefault="00013188" w:rsidP="00E05F0D">
      <w:pPr>
        <w:pStyle w:val="Heading1"/>
      </w:pPr>
      <w:r>
        <w:t>Wagner Writing Center</w:t>
      </w:r>
    </w:p>
    <w:p w:rsidR="00E05F0D" w:rsidRDefault="00013188">
      <w:pPr>
        <w:spacing w:line="240" w:lineRule="auto"/>
        <w:rPr>
          <w:rFonts w:ascii="Lato" w:eastAsia="Lato" w:hAnsi="Lato" w:cs="Lato"/>
          <w:color w:val="1155CC"/>
          <w:u w:val="single"/>
        </w:rPr>
      </w:pPr>
      <w:r>
        <w:rPr>
          <w:rFonts w:ascii="Lato" w:eastAsia="Lato" w:hAnsi="Lato" w:cs="Lato"/>
        </w:rPr>
        <w:t xml:space="preserve">The Wagner Writing Center offers writing support through tutors, workshops, and a writing series. Visit them at: </w:t>
      </w:r>
      <w:hyperlink r:id="rId56">
        <w:r>
          <w:rPr>
            <w:rFonts w:ascii="Lato" w:eastAsia="Lato" w:hAnsi="Lato" w:cs="Lato"/>
            <w:color w:val="1155CC"/>
            <w:u w:val="single"/>
          </w:rPr>
          <w:t>https://wagner.nyu.edu/portal/students/academics/advisement/writing-center#</w:t>
        </w:r>
      </w:hyperlink>
    </w:p>
    <w:p w:rsidR="00043C9C" w:rsidRDefault="00013188" w:rsidP="00E05F0D">
      <w:pPr>
        <w:pStyle w:val="Heading1"/>
      </w:pPr>
      <w:proofErr w:type="spellStart"/>
      <w:r>
        <w:t>ChatGPT</w:t>
      </w:r>
      <w:proofErr w:type="spellEnd"/>
      <w:r>
        <w:t xml:space="preserve"> Guidance</w:t>
      </w:r>
    </w:p>
    <w:p w:rsidR="00043C9C" w:rsidRDefault="00013188">
      <w:pPr>
        <w:shd w:val="clear" w:color="auto" w:fill="FFFFFF"/>
        <w:spacing w:line="240" w:lineRule="auto"/>
        <w:rPr>
          <w:rFonts w:ascii="Lato" w:eastAsia="Lato" w:hAnsi="Lato" w:cs="Lato"/>
          <w:b/>
        </w:rPr>
      </w:pPr>
      <w:r>
        <w:rPr>
          <w:rFonts w:ascii="Lato" w:eastAsia="Lato" w:hAnsi="Lato" w:cs="Lato"/>
        </w:rPr>
        <w:t>The</w:t>
      </w:r>
      <w:hyperlink r:id="rId57">
        <w:r>
          <w:rPr>
            <w:rFonts w:ascii="Lato" w:eastAsia="Lato" w:hAnsi="Lato" w:cs="Lato"/>
            <w:color w:val="1155CC"/>
            <w:u w:val="single"/>
          </w:rPr>
          <w:t xml:space="preserve"> polic</w:t>
        </w:r>
        <w:r>
          <w:rPr>
            <w:rFonts w:ascii="Lato" w:eastAsia="Lato" w:hAnsi="Lato" w:cs="Lato"/>
            <w:color w:val="1155CC"/>
            <w:u w:val="single"/>
          </w:rPr>
          <w:t>ies of Wagner</w:t>
        </w:r>
      </w:hyperlink>
      <w:r>
        <w:rPr>
          <w:rFonts w:ascii="Lato" w:eastAsia="Lato" w:hAnsi="Lato" w:cs="Lato"/>
        </w:rPr>
        <w:t xml:space="preserve"> require that you complete and submit your own work. If you use </w:t>
      </w:r>
      <w:proofErr w:type="spellStart"/>
      <w:r>
        <w:rPr>
          <w:rFonts w:ascii="Lato" w:eastAsia="Lato" w:hAnsi="Lato" w:cs="Lato"/>
        </w:rPr>
        <w:t>ChatGPT</w:t>
      </w:r>
      <w:proofErr w:type="spellEnd"/>
      <w:r>
        <w:rPr>
          <w:rFonts w:ascii="Lato" w:eastAsia="Lato" w:hAnsi="Lato" w:cs="Lato"/>
        </w:rPr>
        <w:t>, Bard, and other generative AI tools in your work, you must cite them. If you don’t, this violates the school’s norms, and you will be held to the guidance outlined in</w:t>
      </w:r>
      <w:hyperlink r:id="rId58" w:anchor="sec-B1">
        <w:r>
          <w:rPr>
            <w:rFonts w:ascii="Lato" w:eastAsia="Lato" w:hAnsi="Lato" w:cs="Lato"/>
            <w:color w:val="1155CC"/>
            <w:u w:val="single"/>
          </w:rPr>
          <w:t xml:space="preserve"> Wagner’s Academic Integrity Policy </w:t>
        </w:r>
      </w:hyperlink>
      <w:r>
        <w:rPr>
          <w:rFonts w:ascii="Lato" w:eastAsia="Lato" w:hAnsi="Lato" w:cs="Lato"/>
        </w:rPr>
        <w:t xml:space="preserve">. </w:t>
      </w:r>
    </w:p>
    <w:p w:rsidR="00043C9C" w:rsidRDefault="00013188" w:rsidP="00E05F0D">
      <w:pPr>
        <w:pStyle w:val="Heading1"/>
      </w:pPr>
      <w:r>
        <w:t xml:space="preserve">NYU Writing Center </w:t>
      </w:r>
    </w:p>
    <w:p w:rsidR="00043C9C" w:rsidRDefault="00013188">
      <w:pPr>
        <w:spacing w:line="240" w:lineRule="auto"/>
        <w:rPr>
          <w:rFonts w:ascii="Lato" w:eastAsia="Lato" w:hAnsi="Lato" w:cs="Lato"/>
        </w:rPr>
      </w:pPr>
      <w:r>
        <w:rPr>
          <w:rFonts w:ascii="Lato" w:eastAsia="Lato" w:hAnsi="Lato" w:cs="Lato"/>
        </w:rPr>
        <w:t>NYU’s general writing support center is a place where one-on-one teaching and learning occurs, and where the work al</w:t>
      </w:r>
      <w:r>
        <w:rPr>
          <w:rFonts w:ascii="Lato" w:eastAsia="Lato" w:hAnsi="Lato" w:cs="Lato"/>
        </w:rPr>
        <w:t>ways focuses on writing. Experienced consultants assist NYU students, faculty, and staff with their work at any stage in the writing process. They work with individuals on essays, lab reports, personal statements, poems, stories, and other written texts. W</w:t>
      </w:r>
      <w:r>
        <w:rPr>
          <w:rFonts w:ascii="Lato" w:eastAsia="Lato" w:hAnsi="Lato" w:cs="Lato"/>
        </w:rPr>
        <w:t>riters may schedule one appointment per week, up to two weeks ahead of time, using their online scheduling system. Appointments normally are 45 minutes in length. The Writing Center is located at 411 Lafayette, 3rd floor. For more information or to schedul</w:t>
      </w:r>
      <w:r>
        <w:rPr>
          <w:rFonts w:ascii="Lato" w:eastAsia="Lato" w:hAnsi="Lato" w:cs="Lato"/>
        </w:rPr>
        <w:t xml:space="preserve">e an appointment, please go to NYU Writing Center's website: </w:t>
      </w:r>
      <w:hyperlink r:id="rId59">
        <w:r>
          <w:rPr>
            <w:rFonts w:ascii="Lato" w:eastAsia="Lato" w:hAnsi="Lato" w:cs="Lato"/>
            <w:color w:val="1155CC"/>
            <w:u w:val="single"/>
          </w:rPr>
          <w:t>https://www.nyu.edu/students/academic-services/writing-center.html</w:t>
        </w:r>
      </w:hyperlink>
      <w:r>
        <w:rPr>
          <w:rFonts w:ascii="Lato" w:eastAsia="Lato" w:hAnsi="Lato" w:cs="Lato"/>
        </w:rPr>
        <w:t xml:space="preserve"> </w:t>
      </w:r>
    </w:p>
    <w:p w:rsidR="00043C9C" w:rsidRDefault="00013188" w:rsidP="00E05F0D">
      <w:pPr>
        <w:pStyle w:val="Heading1"/>
      </w:pPr>
      <w:r>
        <w:lastRenderedPageBreak/>
        <w:t>Library Resources</w:t>
      </w:r>
    </w:p>
    <w:p w:rsidR="00043C9C" w:rsidRDefault="00013188">
      <w:pPr>
        <w:spacing w:line="240" w:lineRule="auto"/>
        <w:rPr>
          <w:rFonts w:ascii="Lato" w:eastAsia="Lato" w:hAnsi="Lato" w:cs="Lato"/>
        </w:rPr>
      </w:pPr>
      <w:r>
        <w:rPr>
          <w:rFonts w:ascii="Lato" w:eastAsia="Lato" w:hAnsi="Lato" w:cs="Lato"/>
        </w:rPr>
        <w:t>There are comprehensiv</w:t>
      </w:r>
      <w:r>
        <w:rPr>
          <w:rFonts w:ascii="Lato" w:eastAsia="Lato" w:hAnsi="Lato" w:cs="Lato"/>
        </w:rPr>
        <w:t xml:space="preserve">e resources to complete assignments on the NYU Libraries website. Visit the public and nonprofit management research guide page: </w:t>
      </w:r>
      <w:hyperlink r:id="rId60">
        <w:r>
          <w:rPr>
            <w:rFonts w:ascii="Lato" w:eastAsia="Lato" w:hAnsi="Lato" w:cs="Lato"/>
            <w:color w:val="1155CC"/>
            <w:u w:val="single"/>
          </w:rPr>
          <w:t>https://guides.nyu.edu/subject_nonprofit</w:t>
        </w:r>
      </w:hyperlink>
      <w:r>
        <w:rPr>
          <w:rFonts w:ascii="Lato" w:eastAsia="Lato" w:hAnsi="Lato" w:cs="Lato"/>
        </w:rPr>
        <w:t xml:space="preserve"> </w:t>
      </w:r>
    </w:p>
    <w:p w:rsidR="00043C9C" w:rsidRDefault="00013188">
      <w:pPr>
        <w:spacing w:line="240" w:lineRule="auto"/>
        <w:rPr>
          <w:rFonts w:ascii="Lato" w:eastAsia="Lato" w:hAnsi="Lato" w:cs="Lato"/>
        </w:rPr>
      </w:pPr>
      <w:r>
        <w:rPr>
          <w:rFonts w:ascii="Lato" w:eastAsia="Lato" w:hAnsi="Lato" w:cs="Lato"/>
        </w:rPr>
        <w:t xml:space="preserve">If you are unclear about how to properly attribute research or ideas you are using in your work, please consult the </w:t>
      </w:r>
      <w:r>
        <w:rPr>
          <w:rFonts w:ascii="Lato" w:eastAsia="Lato" w:hAnsi="Lato" w:cs="Lato"/>
          <w:color w:val="1F1F1F"/>
        </w:rPr>
        <w:t xml:space="preserve">visit the </w:t>
      </w:r>
      <w:hyperlink r:id="rId61">
        <w:r>
          <w:rPr>
            <w:rFonts w:ascii="Lato" w:eastAsia="Lato" w:hAnsi="Lato" w:cs="Lato"/>
            <w:color w:val="1155CC"/>
            <w:u w:val="single"/>
          </w:rPr>
          <w:t>NYU Libraries Citation Style Guide</w:t>
        </w:r>
      </w:hyperlink>
      <w:r>
        <w:rPr>
          <w:rFonts w:ascii="Lato" w:eastAsia="Lato" w:hAnsi="Lato" w:cs="Lato"/>
          <w:color w:val="0064C7"/>
        </w:rPr>
        <w:t xml:space="preserve"> </w:t>
      </w:r>
      <w:r>
        <w:rPr>
          <w:rFonts w:ascii="Lato" w:eastAsia="Lato" w:hAnsi="Lato" w:cs="Lato"/>
        </w:rPr>
        <w:t xml:space="preserve">or </w:t>
      </w:r>
      <w:hyperlink r:id="rId62">
        <w:r>
          <w:rPr>
            <w:rFonts w:ascii="Lato" w:eastAsia="Lato" w:hAnsi="Lato" w:cs="Lato"/>
            <w:color w:val="1155CC"/>
            <w:u w:val="single"/>
          </w:rPr>
          <w:t>Ask a librarian</w:t>
        </w:r>
      </w:hyperlink>
      <w:r>
        <w:rPr>
          <w:rFonts w:ascii="Lato" w:eastAsia="Lato" w:hAnsi="Lato" w:cs="Lato"/>
        </w:rPr>
        <w:t xml:space="preserve">. For this class, any citation style is acceptable as long as you are consistent. As an example, Harvard Business School has a comprehensive </w:t>
      </w:r>
      <w:hyperlink r:id="rId63">
        <w:r>
          <w:rPr>
            <w:rFonts w:ascii="Lato" w:eastAsia="Lato" w:hAnsi="Lato" w:cs="Lato"/>
            <w:color w:val="1155CC"/>
            <w:u w:val="single"/>
          </w:rPr>
          <w:t>guide to Chicago Style</w:t>
        </w:r>
      </w:hyperlink>
      <w:r>
        <w:rPr>
          <w:rFonts w:ascii="Lato" w:eastAsia="Lato" w:hAnsi="Lato" w:cs="Lato"/>
        </w:rPr>
        <w:t xml:space="preserve">. </w:t>
      </w:r>
      <w:proofErr w:type="gramStart"/>
      <w:r>
        <w:rPr>
          <w:rFonts w:ascii="Lato" w:eastAsia="Lato" w:hAnsi="Lato" w:cs="Lato"/>
        </w:rPr>
        <w:t>Also</w:t>
      </w:r>
      <w:proofErr w:type="gramEnd"/>
      <w:r>
        <w:rPr>
          <w:rFonts w:ascii="Lato" w:eastAsia="Lato" w:hAnsi="Lato" w:cs="Lato"/>
        </w:rPr>
        <w:t xml:space="preserve"> commonly used in the public service field is the </w:t>
      </w:r>
      <w:hyperlink r:id="rId64">
        <w:r>
          <w:rPr>
            <w:rFonts w:ascii="Lato" w:eastAsia="Lato" w:hAnsi="Lato" w:cs="Lato"/>
            <w:color w:val="1155CC"/>
            <w:u w:val="single"/>
          </w:rPr>
          <w:t>APA style</w:t>
        </w:r>
      </w:hyperlink>
      <w:r>
        <w:rPr>
          <w:rFonts w:ascii="Lato" w:eastAsia="Lato" w:hAnsi="Lato" w:cs="Lato"/>
        </w:rPr>
        <w:t>.</w:t>
      </w:r>
    </w:p>
    <w:p w:rsidR="00043C9C" w:rsidRDefault="00013188" w:rsidP="00E05F0D">
      <w:pPr>
        <w:pStyle w:val="Heading1"/>
      </w:pPr>
      <w:r>
        <w:t>Henry and Lucy Moses Center for Students with Disabilities at NYU</w:t>
      </w:r>
    </w:p>
    <w:p w:rsidR="00043C9C" w:rsidRDefault="00013188">
      <w:pPr>
        <w:spacing w:line="240" w:lineRule="auto"/>
        <w:rPr>
          <w:rFonts w:ascii="Lato" w:eastAsia="Lato" w:hAnsi="Lato" w:cs="Lato"/>
        </w:rPr>
      </w:pPr>
      <w:r>
        <w:rPr>
          <w:rFonts w:ascii="Lato" w:eastAsia="Lato" w:hAnsi="Lato" w:cs="Lato"/>
        </w:rPr>
        <w:t>I want everyone to do their best work in this course and reach their goals. If you need formal accommodations, please visit the</w:t>
      </w:r>
      <w:hyperlink r:id="rId65">
        <w:r>
          <w:rPr>
            <w:rFonts w:ascii="Lato" w:eastAsia="Lato" w:hAnsi="Lato" w:cs="Lato"/>
            <w:color w:val="1155CC"/>
            <w:u w:val="single"/>
          </w:rPr>
          <w:t xml:space="preserve"> Moses Center for Students</w:t>
        </w:r>
        <w:r>
          <w:rPr>
            <w:rFonts w:ascii="Lato" w:eastAsia="Lato" w:hAnsi="Lato" w:cs="Lato"/>
            <w:color w:val="1155CC"/>
            <w:u w:val="single"/>
          </w:rPr>
          <w:t xml:space="preserve"> with Disabilities (CSD) website</w:t>
        </w:r>
      </w:hyperlink>
      <w:r>
        <w:rPr>
          <w:rFonts w:ascii="Lato" w:eastAsia="Lato" w:hAnsi="Lato" w:cs="Lato"/>
        </w:rPr>
        <w:t xml:space="preserve">, call 212- 998-4980, or email </w:t>
      </w:r>
      <w:hyperlink r:id="rId66">
        <w:r>
          <w:rPr>
            <w:rFonts w:ascii="Lato" w:eastAsia="Lato" w:hAnsi="Lato" w:cs="Lato"/>
            <w:color w:val="1155CC"/>
            <w:u w:val="single"/>
          </w:rPr>
          <w:t>mosescsd@nyu.edu</w:t>
        </w:r>
      </w:hyperlink>
      <w:r>
        <w:rPr>
          <w:rFonts w:ascii="Lato" w:eastAsia="Lato" w:hAnsi="Lato" w:cs="Lato"/>
        </w:rPr>
        <w:t xml:space="preserve">  for information. If you do not need formal accommodations but have learning needs I should know about, please let me know.</w:t>
      </w:r>
    </w:p>
    <w:p w:rsidR="00043C9C" w:rsidRDefault="00013188" w:rsidP="00E05F0D">
      <w:pPr>
        <w:pStyle w:val="Heading1"/>
      </w:pPr>
      <w:r>
        <w:t>Land Ack</w:t>
      </w:r>
      <w:r>
        <w:t xml:space="preserve">nowledgement  </w:t>
      </w:r>
    </w:p>
    <w:p w:rsidR="00043C9C" w:rsidRDefault="00013188">
      <w:pPr>
        <w:spacing w:line="240" w:lineRule="auto"/>
        <w:rPr>
          <w:rFonts w:ascii="Lato" w:eastAsia="Lato" w:hAnsi="Lato" w:cs="Lato"/>
          <w:i/>
        </w:rPr>
      </w:pPr>
      <w:r>
        <w:rPr>
          <w:rFonts w:ascii="Lato" w:eastAsia="Lato" w:hAnsi="Lato" w:cs="Lato"/>
        </w:rPr>
        <w:t>In the spirit of truth and equity, it is with gratitude and humility that we acknowledge that we are gathered on the sacred homelands of the Lenape people, who are the original stewards of this land. We honor and pay respect to their ancesto</w:t>
      </w:r>
      <w:r>
        <w:rPr>
          <w:rFonts w:ascii="Lato" w:eastAsia="Lato" w:hAnsi="Lato" w:cs="Lato"/>
        </w:rPr>
        <w:t>r’s past and present, as well as to future generations and we recognize their continuing presence in their homelands. We understand that our acknowledgment requires those of us who are settlers to recognize our own place in and responsibilities towards add</w:t>
      </w:r>
      <w:r>
        <w:rPr>
          <w:rFonts w:ascii="Lato" w:eastAsia="Lato" w:hAnsi="Lato" w:cs="Lato"/>
        </w:rPr>
        <w:t xml:space="preserve">ressing inequity and that this ongoing and challenging work requires that we commit to real engagement with the Lenape people to build an inclusive and equitable space for all. </w:t>
      </w:r>
      <w:r>
        <w:rPr>
          <w:rFonts w:ascii="Lato" w:eastAsia="Lato" w:hAnsi="Lato" w:cs="Lato"/>
          <w:i/>
        </w:rPr>
        <w:t xml:space="preserve">(Adapted from Bard College) </w:t>
      </w:r>
    </w:p>
    <w:p w:rsidR="00043C9C" w:rsidRDefault="00013188" w:rsidP="00E05F0D">
      <w:pPr>
        <w:pStyle w:val="Heading1"/>
      </w:pPr>
      <w:bookmarkStart w:id="0" w:name="_GoBack"/>
      <w:bookmarkEnd w:id="0"/>
      <w:r>
        <w:t>Justice, Equity, Diversity and Inclusion Statemen</w:t>
      </w:r>
      <w:r>
        <w:t>t</w:t>
      </w:r>
    </w:p>
    <w:p w:rsidR="00E05F0D" w:rsidRDefault="00013188" w:rsidP="00E05F0D">
      <w:pPr>
        <w:spacing w:line="240" w:lineRule="auto"/>
        <w:rPr>
          <w:rFonts w:ascii="Lato" w:eastAsia="Lato" w:hAnsi="Lato" w:cs="Lato"/>
          <w:i/>
        </w:rPr>
      </w:pPr>
      <w:r>
        <w:rPr>
          <w:rFonts w:ascii="Lato" w:eastAsia="Lato" w:hAnsi="Lato" w:cs="Lato"/>
        </w:rPr>
        <w:t>In this class, we seek to materialize our commitment to justice, equity, diversity and inclusion through dialogue and rigorous study. We strive to create a learning environment that upholds values that meaningfully include the voices, works, and ideas of</w:t>
      </w:r>
      <w:r>
        <w:rPr>
          <w:rFonts w:ascii="Lato" w:eastAsia="Lato" w:hAnsi="Lato" w:cs="Lato"/>
        </w:rPr>
        <w:t xml:space="preserve"> communities and cultures historically and systematically excluded from higher education. In this class, we will aim to work on the four levels of oppression (ideological, institutional, interpersonal and individual) to address the implicit and explicit wa</w:t>
      </w:r>
      <w:r>
        <w:rPr>
          <w:rFonts w:ascii="Lato" w:eastAsia="Lato" w:hAnsi="Lato" w:cs="Lato"/>
        </w:rPr>
        <w:t>ys racism, sexism, classism, ableism, homophobia, transphobia, religious and other forms of oppression impact the learning process. As your professor, I am committed to fostering and maintaining an inclusive community in which all gender identities and exp</w:t>
      </w:r>
      <w:r>
        <w:rPr>
          <w:rFonts w:ascii="Lato" w:eastAsia="Lato" w:hAnsi="Lato" w:cs="Lato"/>
        </w:rPr>
        <w:t>ressions are valued and validated. To create a gender-inclusive environment for faculty, students, and visitors, I encourage all members of the class to indicate the pronouns they use for themselves, if desired, in class and in electronic communications, a</w:t>
      </w:r>
      <w:r>
        <w:rPr>
          <w:rFonts w:ascii="Lato" w:eastAsia="Lato" w:hAnsi="Lato" w:cs="Lato"/>
        </w:rPr>
        <w:t xml:space="preserve">nd in other settings, and I will encourage and enforce the respect of pronoun usage. </w:t>
      </w:r>
      <w:r>
        <w:rPr>
          <w:rFonts w:ascii="Lato" w:eastAsia="Lato" w:hAnsi="Lato" w:cs="Lato"/>
          <w:i/>
        </w:rPr>
        <w:t>(Adapted from Bard College)</w:t>
      </w:r>
    </w:p>
    <w:p w:rsidR="00043C9C" w:rsidRDefault="00E05F0D" w:rsidP="00E05F0D">
      <w:pPr>
        <w:spacing w:line="240" w:lineRule="auto"/>
        <w:rPr>
          <w:rFonts w:ascii="Lato" w:eastAsia="Lato" w:hAnsi="Lato" w:cs="Lato"/>
          <w:i/>
          <w:color w:val="202124"/>
          <w:highlight w:val="white"/>
        </w:rPr>
      </w:pPr>
      <w:r>
        <w:rPr>
          <w:rFonts w:ascii="Lato" w:eastAsia="Lato" w:hAnsi="Lato" w:cs="Lato"/>
          <w:i/>
          <w:color w:val="202124"/>
          <w:highlight w:val="white"/>
        </w:rPr>
        <w:t xml:space="preserve"> </w:t>
      </w:r>
    </w:p>
    <w:p w:rsidR="00043C9C" w:rsidRDefault="00013188">
      <w:pPr>
        <w:pBdr>
          <w:top w:val="dotted" w:sz="8" w:space="2" w:color="000000"/>
          <w:left w:val="dotted" w:sz="8" w:space="2" w:color="000000"/>
          <w:bottom w:val="dotted" w:sz="8" w:space="2" w:color="000000"/>
          <w:right w:val="dotted" w:sz="8" w:space="2" w:color="000000"/>
        </w:pBdr>
        <w:spacing w:line="240" w:lineRule="auto"/>
        <w:jc w:val="center"/>
        <w:rPr>
          <w:rFonts w:ascii="Lato" w:eastAsia="Lato" w:hAnsi="Lato" w:cs="Lato"/>
          <w:i/>
          <w:color w:val="202124"/>
          <w:highlight w:val="white"/>
        </w:rPr>
      </w:pPr>
      <w:r>
        <w:rPr>
          <w:rFonts w:ascii="Lato" w:eastAsia="Lato" w:hAnsi="Lato" w:cs="Lato"/>
          <w:i/>
          <w:color w:val="202124"/>
          <w:highlight w:val="white"/>
        </w:rPr>
        <w:t xml:space="preserve">“When everyone in the classroom, teacher and students, recognizes that they are </w:t>
      </w:r>
    </w:p>
    <w:p w:rsidR="00043C9C" w:rsidRDefault="00013188">
      <w:pPr>
        <w:pBdr>
          <w:top w:val="dotted" w:sz="8" w:space="2" w:color="000000"/>
          <w:left w:val="dotted" w:sz="8" w:space="2" w:color="000000"/>
          <w:bottom w:val="dotted" w:sz="8" w:space="2" w:color="000000"/>
          <w:right w:val="dotted" w:sz="8" w:space="2" w:color="000000"/>
        </w:pBdr>
        <w:spacing w:line="240" w:lineRule="auto"/>
        <w:jc w:val="center"/>
        <w:rPr>
          <w:rFonts w:ascii="Lato" w:eastAsia="Lato" w:hAnsi="Lato" w:cs="Lato"/>
          <w:i/>
          <w:color w:val="202124"/>
          <w:highlight w:val="white"/>
        </w:rPr>
      </w:pPr>
      <w:r>
        <w:rPr>
          <w:rFonts w:ascii="Lato" w:eastAsia="Lato" w:hAnsi="Lato" w:cs="Lato"/>
          <w:i/>
          <w:color w:val="202124"/>
          <w:highlight w:val="white"/>
        </w:rPr>
        <w:t xml:space="preserve">responsible for creating a learning community together, learning is at its most meaningful and useful.” </w:t>
      </w:r>
    </w:p>
    <w:p w:rsidR="00043C9C" w:rsidRDefault="00013188" w:rsidP="00E05F0D">
      <w:pPr>
        <w:pBdr>
          <w:top w:val="dotted" w:sz="8" w:space="2" w:color="000000"/>
          <w:left w:val="dotted" w:sz="8" w:space="2" w:color="000000"/>
          <w:bottom w:val="dotted" w:sz="8" w:space="2" w:color="000000"/>
          <w:right w:val="dotted" w:sz="8" w:space="2" w:color="000000"/>
        </w:pBdr>
        <w:spacing w:line="240" w:lineRule="auto"/>
        <w:jc w:val="center"/>
      </w:pPr>
      <w:r>
        <w:rPr>
          <w:rFonts w:ascii="Lato" w:eastAsia="Lato" w:hAnsi="Lato" w:cs="Lato"/>
          <w:i/>
          <w:color w:val="202124"/>
          <w:highlight w:val="white"/>
        </w:rPr>
        <w:t>– bell hooks, Ph.D. (1952-2021)</w:t>
      </w:r>
      <w:r w:rsidR="00E05F0D">
        <w:t xml:space="preserve"> </w:t>
      </w:r>
    </w:p>
    <w:p w:rsidR="00043C9C" w:rsidRDefault="00043C9C">
      <w:pPr>
        <w:rPr>
          <w:rFonts w:ascii="Lato" w:eastAsia="Lato" w:hAnsi="Lato" w:cs="Lato"/>
        </w:rPr>
      </w:pPr>
    </w:p>
    <w:sectPr w:rsidR="00043C9C">
      <w:footerReference w:type="default" r:id="rId67"/>
      <w:pgSz w:w="12240" w:h="15840"/>
      <w:pgMar w:top="1224" w:right="1224" w:bottom="1224" w:left="122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188" w:rsidRDefault="00013188">
      <w:pPr>
        <w:spacing w:line="240" w:lineRule="auto"/>
      </w:pPr>
      <w:r>
        <w:separator/>
      </w:r>
    </w:p>
  </w:endnote>
  <w:endnote w:type="continuationSeparator" w:id="0">
    <w:p w:rsidR="00013188" w:rsidRDefault="000131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C9C" w:rsidRDefault="00013188">
    <w:pPr>
      <w:pBdr>
        <w:top w:val="single" w:sz="8" w:space="2" w:color="000000"/>
      </w:pBdr>
      <w:tabs>
        <w:tab w:val="center" w:pos="4320"/>
        <w:tab w:val="right" w:pos="9804"/>
      </w:tabs>
      <w:spacing w:line="240" w:lineRule="auto"/>
      <w:rPr>
        <w:rFonts w:ascii="Lato" w:eastAsia="Lato" w:hAnsi="Lato" w:cs="Lato"/>
        <w:sz w:val="20"/>
        <w:szCs w:val="20"/>
      </w:rPr>
    </w:pPr>
    <w:r>
      <w:rPr>
        <w:rFonts w:ascii="Lato" w:eastAsia="Lato" w:hAnsi="Lato" w:cs="Lato"/>
        <w:sz w:val="20"/>
        <w:szCs w:val="20"/>
      </w:rPr>
      <w:t>**This syllabus is subject to change with notice**</w:t>
    </w:r>
    <w:r w:rsidR="00E05F0D">
      <w:rPr>
        <w:rFonts w:ascii="Lato" w:eastAsia="Lato" w:hAnsi="Lato" w:cs="Lato"/>
        <w:sz w:val="20"/>
        <w:szCs w:val="20"/>
      </w:rPr>
      <w:t xml:space="preserve"> </w:t>
    </w:r>
    <w:r>
      <w:rPr>
        <w:rFonts w:ascii="Lato" w:eastAsia="Lato" w:hAnsi="Lato" w:cs="Lato"/>
        <w:sz w:val="20"/>
        <w:szCs w:val="20"/>
      </w:rPr>
      <w:t xml:space="preserve">Page </w:t>
    </w:r>
    <w:r>
      <w:rPr>
        <w:rFonts w:ascii="Lato" w:eastAsia="Lato" w:hAnsi="Lato" w:cs="Lato"/>
        <w:sz w:val="20"/>
        <w:szCs w:val="20"/>
      </w:rPr>
      <w:fldChar w:fldCharType="begin"/>
    </w:r>
    <w:r>
      <w:rPr>
        <w:rFonts w:ascii="Lato" w:eastAsia="Lato" w:hAnsi="Lato" w:cs="Lato"/>
        <w:sz w:val="20"/>
        <w:szCs w:val="20"/>
      </w:rPr>
      <w:instrText>PAGE</w:instrText>
    </w:r>
    <w:r w:rsidR="00E05F0D">
      <w:rPr>
        <w:rFonts w:ascii="Lato" w:eastAsia="Lato" w:hAnsi="Lato" w:cs="Lato"/>
        <w:sz w:val="20"/>
        <w:szCs w:val="20"/>
      </w:rPr>
      <w:fldChar w:fldCharType="separate"/>
    </w:r>
    <w:r w:rsidR="00E05F0D">
      <w:rPr>
        <w:rFonts w:ascii="Lato" w:eastAsia="Lato" w:hAnsi="Lato" w:cs="Lato"/>
        <w:noProof/>
        <w:sz w:val="20"/>
        <w:szCs w:val="20"/>
      </w:rPr>
      <w:t>1</w:t>
    </w:r>
    <w:r>
      <w:rPr>
        <w:rFonts w:ascii="Lato" w:eastAsia="Lato" w:hAnsi="Lato" w:cs="Lato"/>
        <w:sz w:val="20"/>
        <w:szCs w:val="20"/>
      </w:rPr>
      <w:fldChar w:fldCharType="end"/>
    </w:r>
    <w:r>
      <w:rPr>
        <w:rFonts w:ascii="Lato" w:eastAsia="Lato" w:hAnsi="Lato" w:cs="Lato"/>
        <w:sz w:val="20"/>
        <w:szCs w:val="20"/>
      </w:rPr>
      <w:t xml:space="preserve"> of </w:t>
    </w:r>
    <w:r>
      <w:rPr>
        <w:rFonts w:ascii="Lato" w:eastAsia="Lato" w:hAnsi="Lato" w:cs="Lato"/>
        <w:sz w:val="20"/>
        <w:szCs w:val="20"/>
      </w:rPr>
      <w:fldChar w:fldCharType="begin"/>
    </w:r>
    <w:r>
      <w:rPr>
        <w:rFonts w:ascii="Lato" w:eastAsia="Lato" w:hAnsi="Lato" w:cs="Lato"/>
        <w:sz w:val="20"/>
        <w:szCs w:val="20"/>
      </w:rPr>
      <w:instrText>NUMPAGES</w:instrText>
    </w:r>
    <w:r w:rsidR="00E05F0D">
      <w:rPr>
        <w:rFonts w:ascii="Lato" w:eastAsia="Lato" w:hAnsi="Lato" w:cs="Lato"/>
        <w:sz w:val="20"/>
        <w:szCs w:val="20"/>
      </w:rPr>
      <w:fldChar w:fldCharType="separate"/>
    </w:r>
    <w:r w:rsidR="00E05F0D">
      <w:rPr>
        <w:rFonts w:ascii="Lato" w:eastAsia="Lato" w:hAnsi="Lato" w:cs="Lato"/>
        <w:noProof/>
        <w:sz w:val="20"/>
        <w:szCs w:val="20"/>
      </w:rPr>
      <w:t>1</w:t>
    </w:r>
    <w:r>
      <w:rPr>
        <w:rFonts w:ascii="Lato" w:eastAsia="Lato" w:hAnsi="Lato" w:cs="Lato"/>
        <w:sz w:val="20"/>
        <w:szCs w:val="20"/>
      </w:rPr>
      <w:fldChar w:fldCharType="end"/>
    </w:r>
  </w:p>
  <w:p w:rsidR="00043C9C" w:rsidRDefault="00043C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188" w:rsidRDefault="00013188">
      <w:pPr>
        <w:spacing w:line="240" w:lineRule="auto"/>
      </w:pPr>
      <w:r>
        <w:separator/>
      </w:r>
    </w:p>
  </w:footnote>
  <w:footnote w:type="continuationSeparator" w:id="0">
    <w:p w:rsidR="00013188" w:rsidRDefault="000131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26C16"/>
    <w:multiLevelType w:val="multilevel"/>
    <w:tmpl w:val="CA0CB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2A3B99"/>
    <w:multiLevelType w:val="multilevel"/>
    <w:tmpl w:val="21B477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3E37C4"/>
    <w:multiLevelType w:val="multilevel"/>
    <w:tmpl w:val="3CF4D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1A6D52"/>
    <w:multiLevelType w:val="multilevel"/>
    <w:tmpl w:val="46F6D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FE77DC"/>
    <w:multiLevelType w:val="multilevel"/>
    <w:tmpl w:val="065EB0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C9C"/>
    <w:rsid w:val="00013188"/>
    <w:rsid w:val="00043C9C"/>
    <w:rsid w:val="00E0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95D55"/>
  <w15:docId w15:val="{3A6AF2B6-49BE-49C4-9FB2-39155A0C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E05F0D"/>
    <w:pPr>
      <w:keepNext/>
      <w:keepLines/>
      <w:spacing w:before="400" w:after="120"/>
      <w:outlineLvl w:val="0"/>
    </w:pPr>
    <w:rPr>
      <w:b/>
      <w:sz w:val="28"/>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reitmanresearch.com/aboutrrs.html" TargetMode="External"/><Relationship Id="rId21" Type="http://schemas.openxmlformats.org/officeDocument/2006/relationships/hyperlink" Target="https://drive.google.com/file/d/1TFhdhcOUzYKAD_qOOwObYxiatKiog1Wo/view?usp=share_link" TargetMode="External"/><Relationship Id="rId42" Type="http://schemas.openxmlformats.org/officeDocument/2006/relationships/hyperlink" Target="https://drive.google.com/file/d/1mfmXN1sxC856LbnfP23Jl7PlwTJ2saEW/view?usp=share_link" TargetMode="External"/><Relationship Id="rId47" Type="http://schemas.openxmlformats.org/officeDocument/2006/relationships/hyperlink" Target="https://drive.google.com/file/d/1TTomXUnelt0mLVDNOIUeXTNsgn0ZoQFs/view?usp=share_link" TargetMode="External"/><Relationship Id="rId63" Type="http://schemas.openxmlformats.org/officeDocument/2006/relationships/hyperlink" Target="https://asklib.library.hbs.edu/loader.php?fid=8880&amp;type=1&amp;key=005238e43b16109f77fdcb0515af673b" TargetMode="Externa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rive.google.com/file/d/1YH-Rhq4q39SYj_NIWCgo3K17EMJorh-u/view?usp=share_link" TargetMode="External"/><Relationship Id="rId29" Type="http://schemas.openxmlformats.org/officeDocument/2006/relationships/hyperlink" Target="https://www.govinfo.gov/content/pkg/DCPD-202100538/pdf/DCPD-202100538.pdf" TargetMode="External"/><Relationship Id="rId11" Type="http://schemas.openxmlformats.org/officeDocument/2006/relationships/hyperlink" Target="https://drive.google.com/file/d/1FR1RR-BpYZXZ8oEdo9lhVfWJMfF5tcOu/view?usp=sharing" TargetMode="External"/><Relationship Id="rId24" Type="http://schemas.openxmlformats.org/officeDocument/2006/relationships/hyperlink" Target="https://drive.google.com/file/d/1GN2qxceRa5cZJAkZDxOY1v2a71NADMrI/view?usp=share_link" TargetMode="External"/><Relationship Id="rId32" Type="http://schemas.openxmlformats.org/officeDocument/2006/relationships/hyperlink" Target="https://drive.google.com/file/d/1-lJm-OzKGjrcvswysuBf6x-nyA7SbW3D/view?usp=share_link" TargetMode="External"/><Relationship Id="rId37" Type="http://schemas.openxmlformats.org/officeDocument/2006/relationships/hyperlink" Target="https://drive.google.com/file/d/17uQJZbStzS4qdIzIjErdmRHAZmDcayGI/view?usp=share_link" TargetMode="External"/><Relationship Id="rId40" Type="http://schemas.openxmlformats.org/officeDocument/2006/relationships/hyperlink" Target="https://www.usatoday.com/story/opinion/2019/07/26/sexual-assault-among-men-needs-discussed-metoo-column/1807577001/" TargetMode="External"/><Relationship Id="rId45" Type="http://schemas.openxmlformats.org/officeDocument/2006/relationships/hyperlink" Target="https://drive.google.com/file/d/1TbrhozWdSr75OrBwxySyIcCABXW9sKF2/view?usp=share_link" TargetMode="External"/><Relationship Id="rId53" Type="http://schemas.openxmlformats.org/officeDocument/2006/relationships/hyperlink" Target="https://www.nyu.edu/about/policies-guidelines-compliance/policies-and-guidelines/academic-integrity-for-students-at-nyu.html" TargetMode="External"/><Relationship Id="rId58" Type="http://schemas.openxmlformats.org/officeDocument/2006/relationships/hyperlink" Target="https://wagner.nyu.edu/portal/students/policies/code" TargetMode="External"/><Relationship Id="rId66" Type="http://schemas.openxmlformats.org/officeDocument/2006/relationships/hyperlink" Target="mailto:mosescsd@nyu.edu" TargetMode="External"/><Relationship Id="rId5" Type="http://schemas.openxmlformats.org/officeDocument/2006/relationships/footnotes" Target="footnotes.xml"/><Relationship Id="rId61" Type="http://schemas.openxmlformats.org/officeDocument/2006/relationships/hyperlink" Target="http://guides.nyu.edu/c.php?g=276562&amp;p=1844731" TargetMode="External"/><Relationship Id="rId19" Type="http://schemas.openxmlformats.org/officeDocument/2006/relationships/hyperlink" Target="https://drive.google.com/file/d/1u3GauhCdN43kMvDco2JEduz1wa3FlI5-/view?usp=share_link" TargetMode="External"/><Relationship Id="rId14" Type="http://schemas.openxmlformats.org/officeDocument/2006/relationships/hyperlink" Target="https://drive.google.com/file/d/1hzw32dEDVqG6LAIzT9RKSTqylV5Wy40D/view?usp=drive_link" TargetMode="External"/><Relationship Id="rId22" Type="http://schemas.openxmlformats.org/officeDocument/2006/relationships/hyperlink" Target="https://drive.google.com/file/d/1fgjKLYhalD08EA2UkD19wMc4Nn-H-v80/view?usp=share_link" TargetMode="External"/><Relationship Id="rId27" Type="http://schemas.openxmlformats.org/officeDocument/2006/relationships/hyperlink" Target="https://drive.google.com/file/d/1r_rfIbFI4lA5dORlcZypp4xogWKYNv4m/view?usp=share_link" TargetMode="External"/><Relationship Id="rId30" Type="http://schemas.openxmlformats.org/officeDocument/2006/relationships/hyperlink" Target="https://slate.com/human-interest/2018/01/the-feminist-case-for-universal-basic-income.html" TargetMode="External"/><Relationship Id="rId35" Type="http://schemas.openxmlformats.org/officeDocument/2006/relationships/hyperlink" Target="https://drive.google.com/file/d/1mgbiU-mh3QgPF_SGYbBVoFzPAdNqCKJf/view?usp=share_link" TargetMode="External"/><Relationship Id="rId43" Type="http://schemas.openxmlformats.org/officeDocument/2006/relationships/hyperlink" Target="https://drive.google.com/file/d/1INAeRlNJUrJL1PDscN798dAvDlL9UwrJ/view?usp=share_link" TargetMode="External"/><Relationship Id="rId48" Type="http://schemas.openxmlformats.org/officeDocument/2006/relationships/hyperlink" Target="https://drive.google.com/file/d/1TTomXUnelt0mLVDNOIUeXTNsgn0ZoQFs/view?usp=share_link" TargetMode="External"/><Relationship Id="rId56" Type="http://schemas.openxmlformats.org/officeDocument/2006/relationships/hyperlink" Target="https://wagner.nyu.edu/portal/students/academics/advisement/writing-center" TargetMode="External"/><Relationship Id="rId64" Type="http://schemas.openxmlformats.org/officeDocument/2006/relationships/hyperlink" Target="https://apastyle.apa.org/" TargetMode="External"/><Relationship Id="rId69" Type="http://schemas.openxmlformats.org/officeDocument/2006/relationships/theme" Target="theme/theme1.xml"/><Relationship Id="rId8" Type="http://schemas.openxmlformats.org/officeDocument/2006/relationships/hyperlink" Target="mailto:jpramirez@nyu.edu" TargetMode="External"/><Relationship Id="rId51" Type="http://schemas.openxmlformats.org/officeDocument/2006/relationships/hyperlink" Target="https://wagner.nyu.edu/portal/students/policies/code" TargetMode="External"/><Relationship Id="rId3" Type="http://schemas.openxmlformats.org/officeDocument/2006/relationships/settings" Target="settings.xml"/><Relationship Id="rId12" Type="http://schemas.openxmlformats.org/officeDocument/2006/relationships/hyperlink" Target="https://www.npr.org/transcripts/1192980071" TargetMode="External"/><Relationship Id="rId17" Type="http://schemas.openxmlformats.org/officeDocument/2006/relationships/hyperlink" Target="https://drive.google.com/file/d/1ftGuPm_wXEVEvqTZGlFbn_YTcY8tWhBw/view?usp=share_link" TargetMode="External"/><Relationship Id="rId25" Type="http://schemas.openxmlformats.org/officeDocument/2006/relationships/hyperlink" Target="https://drive.google.com/file/d/1Y5mPz9jkSfxVQRGoiZ5OsBDlAqlb6rPJ/view?usp=share_link" TargetMode="External"/><Relationship Id="rId33" Type="http://schemas.openxmlformats.org/officeDocument/2006/relationships/hyperlink" Target="https://drive.google.com/file/d/1XtlpckjQdN3pL4rhiK5QBHe_rhgMO6hR/view?usp=share_link" TargetMode="External"/><Relationship Id="rId38" Type="http://schemas.openxmlformats.org/officeDocument/2006/relationships/hyperlink" Target="https://www.thenation.com/article/archive/black-women-still-defense-ourselves/" TargetMode="External"/><Relationship Id="rId46" Type="http://schemas.openxmlformats.org/officeDocument/2006/relationships/hyperlink" Target="https://www.youtube.com/watch?v=H-utAjZ_obc" TargetMode="External"/><Relationship Id="rId59" Type="http://schemas.openxmlformats.org/officeDocument/2006/relationships/hyperlink" Target="https://www.nyu.edu/students/academic-services/writing-center.html" TargetMode="External"/><Relationship Id="rId67" Type="http://schemas.openxmlformats.org/officeDocument/2006/relationships/footer" Target="footer1.xml"/><Relationship Id="rId20" Type="http://schemas.openxmlformats.org/officeDocument/2006/relationships/hyperlink" Target="https://drive.google.com/file/d/1YrZ-fz3s28Nt77lfphmX9ebUNBDBcU-a/view?usp=share_link" TargetMode="External"/><Relationship Id="rId41" Type="http://schemas.openxmlformats.org/officeDocument/2006/relationships/hyperlink" Target="https://drive.google.com/file/d/1fERBQYd_LSI8G8HTOjuO2cwcC8MfYlup/view?usp=share_link" TargetMode="External"/><Relationship Id="rId54" Type="http://schemas.openxmlformats.org/officeDocument/2006/relationships/hyperlink" Target="https://wagner.nyu.edu/portal/students/policies/code" TargetMode="External"/><Relationship Id="rId62" Type="http://schemas.openxmlformats.org/officeDocument/2006/relationships/hyperlink" Target="https://library.nyu.edu/as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rive.google.com/file/d/1GxlOkrRf0jRNHNT_2ai2YVQx21Wyj_kK/view?usp=share_link" TargetMode="External"/><Relationship Id="rId23" Type="http://schemas.openxmlformats.org/officeDocument/2006/relationships/hyperlink" Target="https://drive.google.com/file/d/13tcKkVDvE8WpPbQSpJw906VTAFvWuHY1/view?usp=share_link" TargetMode="External"/><Relationship Id="rId28" Type="http://schemas.openxmlformats.org/officeDocument/2006/relationships/hyperlink" Target="https://drive.google.com/file/d/1o_Iw23ITRwo_bEF4D5Ck4YFLCfbrpgyS/view?usp=share_link" TargetMode="External"/><Relationship Id="rId36" Type="http://schemas.openxmlformats.org/officeDocument/2006/relationships/hyperlink" Target="https://drive.google.com/file/d/1OrrtozwHMYf-zKDrziRzv32drJCmZ-fn/view?usp=share_link" TargetMode="External"/><Relationship Id="rId49" Type="http://schemas.openxmlformats.org/officeDocument/2006/relationships/hyperlink" Target="https://drive.google.com/file/d/1zEcGrslx8Fdh0bGWzCM2w6rlZ4sfhX3U/view?usp=share_link" TargetMode="External"/><Relationship Id="rId57" Type="http://schemas.openxmlformats.org/officeDocument/2006/relationships/hyperlink" Target="https://www.nyu.edu/about/policies-guidelines-compliance/policies-and-guidelines/academic-integrity-for-students-at-nyu.html" TargetMode="External"/><Relationship Id="rId10" Type="http://schemas.openxmlformats.org/officeDocument/2006/relationships/hyperlink" Target="https://drive.google.com/file/d/1iKxJln32hy10gdv-5wk_LA7rTsIRVK3q/view?usp=share_link" TargetMode="External"/><Relationship Id="rId31" Type="http://schemas.openxmlformats.org/officeDocument/2006/relationships/hyperlink" Target="https://drive.google.com/file/d/12N-UfE4SBqzi9RLZeKbPkPkxV_5r91-p/view?usp=share_link" TargetMode="External"/><Relationship Id="rId44" Type="http://schemas.openxmlformats.org/officeDocument/2006/relationships/hyperlink" Target="https://drive.google.com/file/d/1ZKvit0jKarcpQsZRVcD1QDkjtshrWIWy/view?usp=share_link" TargetMode="External"/><Relationship Id="rId52" Type="http://schemas.openxmlformats.org/officeDocument/2006/relationships/hyperlink" Target="https://wagner.nyu.edu/portal/students/policies/academic-oath" TargetMode="External"/><Relationship Id="rId60" Type="http://schemas.openxmlformats.org/officeDocument/2006/relationships/hyperlink" Target="https://guides.nyu.edu/subject_nonprofit" TargetMode="External"/><Relationship Id="rId65" Type="http://schemas.openxmlformats.org/officeDocument/2006/relationships/hyperlink" Target="https://www.nyu.edu/students/communities-and-groups/students-with-disabilities.html" TargetMode="External"/><Relationship Id="rId4" Type="http://schemas.openxmlformats.org/officeDocument/2006/relationships/webSettings" Target="webSettings.xml"/><Relationship Id="rId9" Type="http://schemas.openxmlformats.org/officeDocument/2006/relationships/hyperlink" Target="https://drive.google.com/file/d/1O2kYumsA8PWwW7hg3MGCvcxfXk8gIXpv/view?usp=share_link" TargetMode="External"/><Relationship Id="rId13" Type="http://schemas.openxmlformats.org/officeDocument/2006/relationships/hyperlink" Target="https://drive.google.com/file/d/1C1ifLBSQIC1YHxS-wNCoAnm1EcGf857J/view?usp=share_link" TargetMode="External"/><Relationship Id="rId18" Type="http://schemas.openxmlformats.org/officeDocument/2006/relationships/hyperlink" Target="https://drive.google.com/file/d/1X1tUABGsf7VeI4b8EMf1e8yC5ITqupM-/view?usp=share_link" TargetMode="External"/><Relationship Id="rId39" Type="http://schemas.openxmlformats.org/officeDocument/2006/relationships/hyperlink" Target="https://www.buzzfeednews.com/article/aliciagarza/these-women-are-on-the-sexual-assault-frontlines" TargetMode="External"/><Relationship Id="rId34" Type="http://schemas.openxmlformats.org/officeDocument/2006/relationships/hyperlink" Target="https://drive.google.com/file/d/18g2JV8t4qAubFgllwS-ZtWfAzxCshOvW/view?usp=share_link" TargetMode="External"/><Relationship Id="rId50" Type="http://schemas.openxmlformats.org/officeDocument/2006/relationships/hyperlink" Target="https://youtu.be/zadqi8Pn0O0?feature=shared" TargetMode="External"/><Relationship Id="rId55" Type="http://schemas.openxmlformats.org/officeDocument/2006/relationships/hyperlink" Target="https://www.nyu.edu/about/policies-guidelines-compliance/policies-and-guidelines/university-calendar-policy-on-religious-holida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2241</Words>
  <Characters>12483</Characters>
  <Application>Microsoft Office Word</Application>
  <DocSecurity>0</DocSecurity>
  <Lines>334</Lines>
  <Paragraphs>168</Paragraphs>
  <ScaleCrop>false</ScaleCrop>
  <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Destiny Rodriguez</cp:lastModifiedBy>
  <cp:revision>2</cp:revision>
  <dcterms:created xsi:type="dcterms:W3CDTF">2024-03-14T15:58:00Z</dcterms:created>
  <dcterms:modified xsi:type="dcterms:W3CDTF">2024-03-14T16:04:00Z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551b779ea93cb6f846d9fae8f11faa722ce78845c7ab480f10f25dc5d8c8ca54</vt:lpwstr>
  </property>
</Properties>
</file>